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0" w:after="200"/>
      </w:pPr>
      <w:r>
        <w:rPr>
          <w:b/>
          <w:color w:val="B87333"/>
          <w:sz w:val="18"/>
        </w:rPr>
        <w:t>nanostronka.pl</w:t>
      </w:r>
    </w:p>
    <w:p>
      <w:pPr>
        <w:pStyle w:val="Title"/>
      </w:pPr>
      <w:r>
        <w:t>Umowa o wykonanie i utrzymanie strony internetowej w modelu subskrypcyjnym</w:t>
      </w:r>
    </w:p>
    <w:p>
      <w:pPr>
        <w:spacing w:after="320"/>
      </w:pPr>
      <w:r>
        <w:t>Umowa określa zasady przygotowania strony internetowej, logo i konfiguracji firmowego adresu e-mail, a następnie utrzymywania strony w ramach miesięcznej subskrypcji. Hosting poczty zapewnia Klient, chyba że zaakceptuje opcjonalny podstawowy hosting na serwerze Nanostronki. Domena jest nabywana i utrzymywana przez Klienta oraz pozostaje pod jego pełną kontrolą.</w:t>
      </w:r>
    </w:p>
    <w:p>
      <w:pPr>
        <w:spacing w:after="100"/>
      </w:pPr>
      <w:r>
        <w:rPr>
          <w:b/>
        </w:rPr>
        <w:t xml:space="preserve">Miejsce i data zawarcia: </w:t>
      </w:r>
      <w:r>
        <w:t>Kraków, dnia ____________________ r.</w:t>
      </w:r>
    </w:p>
    <w:tbl>
      <w:tblPr>
        <w:tblW w:type="auto" w:w="0"/>
        <w:jc w:val="center"/>
        <w:tblLayout w:type="fixed"/>
        <w:tblLook w:firstColumn="1" w:firstRow="1" w:lastColumn="0" w:lastRow="0" w:noHBand="0" w:noVBand="1" w:val="04A0"/>
        <w:tblBorders>
          <w:top w:val="single" w:sz="8" w:color="D9D9D9"/>
          <w:left w:val="single" w:sz="8" w:color="D9D9D9"/>
          <w:bottom w:val="single" w:sz="8" w:color="D9D9D9"/>
          <w:right w:val="single" w:sz="8" w:color="D9D9D9"/>
          <w:insideH w:val="single" w:sz="8" w:color="D9D9D9"/>
          <w:insideV w:val="single" w:sz="8" w:color="D9D9D9"/>
        </w:tblBorders>
      </w:tblPr>
      <w:tblGrid>
        <w:gridCol w:w="4535"/>
        <w:gridCol w:w="4535"/>
      </w:tblGrid>
      <w:tr>
        <w:tc>
          <w:tcPr>
            <w:tcW w:type="dxa" w:w="4535"/>
            <w:tcMar>
              <w:top w:w="190" w:type="dxa"/>
              <w:start w:w="190" w:type="dxa"/>
              <w:bottom w:w="190" w:type="dxa"/>
              <w:end w:w="190" w:type="dxa"/>
            </w:tcMar>
            <w:vAlign w:val="top"/>
          </w:tcPr>
          <w:p>
            <w:pPr>
              <w:spacing w:after="160"/>
            </w:pPr>
            <w:r/>
            <w:r>
              <w:rPr>
                <w:b/>
                <w:color w:val="B87333"/>
                <w:sz w:val="16"/>
              </w:rPr>
              <w:t>USŁUGODAWCA</w:t>
            </w:r>
          </w:p>
          <w:p>
            <w:pPr>
              <w:spacing w:after="40"/>
            </w:pPr>
            <w:r>
              <w:rPr>
                <w:sz w:val="17"/>
              </w:rPr>
              <w:t>ASPERION Łukasz Korgul</w:t>
            </w:r>
          </w:p>
          <w:p>
            <w:pPr>
              <w:spacing w:after="40"/>
            </w:pPr>
            <w:r>
              <w:rPr>
                <w:sz w:val="17"/>
              </w:rPr>
              <w:t>ul. Karola Darwina 62GE/2</w:t>
            </w:r>
          </w:p>
          <w:p>
            <w:pPr>
              <w:spacing w:after="40"/>
            </w:pPr>
            <w:r>
              <w:rPr>
                <w:sz w:val="17"/>
              </w:rPr>
              <w:t>31-764 Kraków, Polska</w:t>
            </w:r>
          </w:p>
          <w:p>
            <w:pPr>
              <w:spacing w:after="40"/>
            </w:pPr>
            <w:r>
              <w:rPr>
                <w:sz w:val="17"/>
              </w:rPr>
              <w:t>NIP: 5562441108</w:t>
            </w:r>
          </w:p>
          <w:p>
            <w:pPr>
              <w:spacing w:after="40"/>
            </w:pPr>
            <w:r>
              <w:rPr>
                <w:sz w:val="17"/>
              </w:rPr>
              <w:t>e-mail: kontakt@nanostronka.pl</w:t>
            </w:r>
          </w:p>
          <w:p>
            <w:pPr>
              <w:spacing w:after="40"/>
            </w:pPr>
            <w:r>
              <w:rPr>
                <w:sz w:val="17"/>
              </w:rPr>
              <w:t>tel.: +48 690 690 776</w:t>
            </w:r>
          </w:p>
        </w:tc>
        <w:tc>
          <w:tcPr>
            <w:tcW w:type="dxa" w:w="4535"/>
            <w:tcMar>
              <w:top w:w="190" w:type="dxa"/>
              <w:start w:w="190" w:type="dxa"/>
              <w:bottom w:w="190" w:type="dxa"/>
              <w:end w:w="190" w:type="dxa"/>
            </w:tcMar>
            <w:vAlign w:val="top"/>
            <w:shd w:fill="F5F5F3"/>
          </w:tcPr>
          <w:p>
            <w:pPr>
              <w:spacing w:after="160"/>
            </w:pPr>
            <w:r/>
            <w:r>
              <w:rPr>
                <w:b/>
                <w:color w:val="B87333"/>
                <w:sz w:val="16"/>
              </w:rPr>
              <w:t>KLIENT</w:t>
            </w:r>
          </w:p>
          <w:p>
            <w:pPr>
              <w:spacing w:after="40"/>
            </w:pPr>
            <w:r>
              <w:rPr>
                <w:sz w:val="17"/>
              </w:rPr>
              <w:t>Firma: ______________________________</w:t>
            </w:r>
          </w:p>
          <w:p>
            <w:pPr>
              <w:spacing w:after="40"/>
            </w:pPr>
            <w:r>
              <w:rPr>
                <w:sz w:val="17"/>
              </w:rPr>
              <w:t>Adres: ______________________________</w:t>
            </w:r>
          </w:p>
          <w:p>
            <w:pPr>
              <w:spacing w:after="40"/>
            </w:pPr>
            <w:r>
              <w:rPr>
                <w:sz w:val="17"/>
              </w:rPr>
              <w:t>NIP: _________________________________</w:t>
            </w:r>
          </w:p>
          <w:p>
            <w:pPr>
              <w:spacing w:after="40"/>
            </w:pPr>
            <w:r>
              <w:rPr>
                <w:sz w:val="17"/>
              </w:rPr>
              <w:t>Osoba reprezentująca: ________________</w:t>
            </w:r>
          </w:p>
          <w:p>
            <w:pPr>
              <w:spacing w:after="40"/>
            </w:pPr>
            <w:r>
              <w:rPr>
                <w:sz w:val="17"/>
              </w:rPr>
              <w:t>e-mail: ______________________________</w:t>
            </w:r>
          </w:p>
          <w:p>
            <w:pPr>
              <w:spacing w:after="40"/>
            </w:pPr>
            <w:r>
              <w:rPr>
                <w:sz w:val="17"/>
              </w:rPr>
              <w:t>tel.: _________________________________</w:t>
            </w:r>
          </w:p>
        </w:tc>
      </w:tr>
    </w:tbl>
    <w:p>
      <w:pPr>
        <w:spacing w:before="240"/>
      </w:pPr>
      <w:r>
        <w:t xml:space="preserve">zwanymi dalej łącznie „Stronami”, a każda z osobna „Stroną”. </w:t>
      </w:r>
      <w:r>
        <w:rPr>
          <w:b/>
        </w:rPr>
        <w:t>Klient oświadcza, że zawiera Umowę w związku z prowadzoną działalnością gospodarczą lub zawodową.</w:t>
      </w:r>
    </w:p>
    <w:p>
      <w:pPr>
        <w:pStyle w:val="Heading1"/>
        <w:keepNext/>
        <w:keepLines/>
      </w:pPr>
      <w:r>
        <w:rPr>
          <w:color w:val="111111"/>
        </w:rPr>
        <w:t>§ 1  Definicje</w:t>
      </w:r>
    </w:p>
    <w:p>
      <w:pPr>
        <w:ind w:left="369" w:hanging="369"/>
      </w:pPr>
      <w:r>
        <w:rPr>
          <w:b/>
        </w:rPr>
        <w:t xml:space="preserve">1. </w:t>
      </w:r>
      <w:r>
        <w:t>Serwis - strona internetowa przygotowana dla Klienta zgodnie z Umową i Załącznikiem nr 1.</w:t>
      </w:r>
    </w:p>
    <w:p>
      <w:pPr>
        <w:ind w:left="369" w:hanging="369"/>
      </w:pPr>
      <w:r>
        <w:rPr>
          <w:b/>
        </w:rPr>
        <w:t xml:space="preserve">2. </w:t>
      </w:r>
      <w:r>
        <w:t>Materiały Projektowe - logo, układ graficzny, elementy identyfikacji wizualnej, grafiki, teksty i inne rezultaty twórcze przygotowane przez Usługodawcę w ramach Oferty Bez Opłaty Początkowej.</w:t>
      </w:r>
    </w:p>
    <w:p>
      <w:pPr>
        <w:ind w:left="369" w:hanging="369"/>
      </w:pPr>
      <w:r>
        <w:rPr>
          <w:b/>
        </w:rPr>
        <w:t xml:space="preserve">3. </w:t>
      </w:r>
      <w:r>
        <w:t>Kod - kod źródłowy i wynikowy Serwisu, komponenty, konfiguracje, skrypty, szablony oraz rozwiązania techniczne użyte przez Usługodawcę.</w:t>
      </w:r>
    </w:p>
    <w:p>
      <w:pPr>
        <w:ind w:left="369" w:hanging="369"/>
      </w:pPr>
      <w:r>
        <w:rPr>
          <w:b/>
        </w:rPr>
        <w:t xml:space="preserve">4. </w:t>
      </w:r>
      <w:r>
        <w:t>Subskrypcja - miesięczna usługa obejmująca udostępnianie Serwisu, hosting strony i opiekę techniczną; może obejmować także podstawowy hosting poczty, jeżeli Klient wyraźnie wybierze tę opcję i zaakceptuje zasady z § 6.</w:t>
      </w:r>
    </w:p>
    <w:p>
      <w:pPr>
        <w:ind w:left="369" w:hanging="369"/>
      </w:pPr>
      <w:r>
        <w:rPr>
          <w:b/>
        </w:rPr>
        <w:t xml:space="preserve">5. </w:t>
      </w:r>
      <w:r>
        <w:t>Domena - nazwa internetowa wskazana przez Klienta, zarejestrowana na Klienta i utrzymywana na jego koszt.</w:t>
      </w:r>
    </w:p>
    <w:p>
      <w:pPr>
        <w:ind w:left="369" w:hanging="369"/>
      </w:pPr>
      <w:r>
        <w:rPr>
          <w:b/>
        </w:rPr>
        <w:t xml:space="preserve">6. </w:t>
      </w:r>
      <w:r>
        <w:t>Uruchomienie - opublikowanie Serwisu pod Domeną Klienta oraz, jeżeli dotyczy, skonfigurowanie firmowego adresu e-mail.</w:t>
      </w:r>
    </w:p>
    <w:p>
      <w:pPr>
        <w:pStyle w:val="Heading1"/>
        <w:keepNext/>
        <w:keepLines/>
      </w:pPr>
      <w:r>
        <w:rPr>
          <w:color w:val="111111"/>
        </w:rPr>
        <w:t>§ 2  Przedmiot Umowy</w:t>
      </w:r>
    </w:p>
    <w:p>
      <w:pPr>
        <w:ind w:left="369" w:hanging="369"/>
      </w:pPr>
      <w:r>
        <w:rPr>
          <w:b/>
        </w:rPr>
        <w:t xml:space="preserve">1. </w:t>
      </w:r>
      <w:r>
        <w:t>Usługodawca zobowiązuje się zaprojektować i wdrożyć Serwis, przygotować logo, pomóc w konfiguracji firmowego adresu e-mail w Domenie Klienta, a po Uruchomieniu świadczyć Subskrypcję.</w:t>
      </w:r>
    </w:p>
    <w:p>
      <w:pPr>
        <w:ind w:left="369" w:hanging="369"/>
      </w:pPr>
      <w:r>
        <w:rPr>
          <w:b/>
        </w:rPr>
        <w:t xml:space="preserve">2. </w:t>
      </w:r>
      <w:r>
        <w:t>Wykonanie elementów wskazanych jako „W cenie” nie wymaga od Klienta zapłaty odrębnej opłaty projektowej ani wdrożeniowej. Koszt ich przygotowania jest elementem modelu subskrypcyjnego.</w:t>
      </w:r>
    </w:p>
    <w:p>
      <w:pPr>
        <w:ind w:left="369" w:hanging="369"/>
      </w:pPr>
      <w:r>
        <w:rPr>
          <w:b/>
        </w:rPr>
        <w:t xml:space="preserve">3. </w:t>
      </w:r>
      <w:r>
        <w:t>Szczegółowe wymagania, zawartość Serwisu i dane techniczne Strony określają w Załączniku nr 1.</w:t>
      </w:r>
    </w:p>
    <w:tbl>
      <w:tblPr>
        <w:tblW w:type="auto" w:w="0"/>
        <w:jc w:val="center"/>
        <w:tblLayout w:type="fixed"/>
        <w:tblLook w:firstColumn="1" w:firstRow="1" w:lastColumn="0" w:lastRow="0" w:noHBand="0" w:noVBand="1" w:val="04A0"/>
        <w:tblBorders>
          <w:top w:val="single" w:sz="8" w:color="D9D9D9"/>
          <w:left w:val="single" w:sz="8" w:color="D9D9D9"/>
          <w:bottom w:val="single" w:sz="8" w:color="D9D9D9"/>
          <w:right w:val="single" w:sz="8" w:color="D9D9D9"/>
          <w:insideH w:val="single" w:sz="8" w:color="D9D9D9"/>
          <w:insideV w:val="single" w:sz="8" w:color="D9D9D9"/>
        </w:tblBorders>
      </w:tblPr>
      <w:tblGrid>
        <w:gridCol w:w="3156"/>
        <w:gridCol w:w="3156"/>
        <w:gridCol w:w="3156"/>
      </w:tblGrid>
      <w:tr>
        <w:trPr>
          <w:tblHeader w:val="true"/>
        </w:trPr>
        <w:tc>
          <w:tcPr>
            <w:tcW w:type="dxa" w:w="2324"/>
            <w:shd w:fill="111111"/>
            <w:tcMar>
              <w:top w:w="140" w:type="dxa"/>
              <w:start w:w="150" w:type="dxa"/>
              <w:bottom w:w="140" w:type="dxa"/>
              <w:end w:w="150" w:type="dxa"/>
            </w:tcMar>
            <w:vAlign w:val="center"/>
          </w:tcPr>
          <w:p>
            <w:r>
              <w:rPr>
                <w:b/>
                <w:color w:val="FFFFFF"/>
                <w:sz w:val="18"/>
              </w:rPr>
              <w:t>Element</w:t>
            </w:r>
          </w:p>
        </w:tc>
        <w:tc>
          <w:tcPr>
            <w:tcW w:type="dxa" w:w="4422"/>
            <w:shd w:fill="111111"/>
            <w:tcMar>
              <w:top w:w="140" w:type="dxa"/>
              <w:start w:w="150" w:type="dxa"/>
              <w:bottom w:w="140" w:type="dxa"/>
              <w:end w:w="150" w:type="dxa"/>
            </w:tcMar>
            <w:vAlign w:val="center"/>
          </w:tcPr>
          <w:p>
            <w:r>
              <w:rPr>
                <w:b/>
                <w:color w:val="FFFFFF"/>
                <w:sz w:val="18"/>
              </w:rPr>
              <w:t>Zakres</w:t>
            </w:r>
          </w:p>
        </w:tc>
        <w:tc>
          <w:tcPr>
            <w:tcW w:type="dxa" w:w="2268"/>
            <w:shd w:fill="111111"/>
            <w:tcMar>
              <w:top w:w="140" w:type="dxa"/>
              <w:start w:w="150" w:type="dxa"/>
              <w:bottom w:w="140" w:type="dxa"/>
              <w:end w:w="150" w:type="dxa"/>
            </w:tcMar>
            <w:vAlign w:val="center"/>
          </w:tcPr>
          <w:p>
            <w:r>
              <w:rPr>
                <w:b/>
                <w:color w:val="FFFFFF"/>
                <w:sz w:val="18"/>
              </w:rPr>
              <w:t>Status</w:t>
            </w:r>
          </w:p>
        </w:tc>
      </w:tr>
      <w:tr>
        <w:trPr>
          <w:cantSplit/>
        </w:trPr>
        <w:tc>
          <w:tcPr>
            <w:tcW w:type="dxa" w:w="2324"/>
            <w:vAlign w:val="center"/>
            <w:tcMar>
              <w:top w:w="130" w:type="dxa"/>
              <w:start w:w="150" w:type="dxa"/>
              <w:bottom w:w="130" w:type="dxa"/>
              <w:end w:w="150" w:type="dxa"/>
            </w:tcMar>
          </w:tcPr>
          <w:p>
            <w:pPr>
              <w:spacing w:after="0"/>
            </w:pPr>
            <w:r>
              <w:rPr>
                <w:sz w:val="17"/>
              </w:rPr>
              <w:t>Strona internetowa</w:t>
            </w:r>
          </w:p>
        </w:tc>
        <w:tc>
          <w:tcPr>
            <w:tcW w:type="dxa" w:w="4422"/>
            <w:vAlign w:val="center"/>
            <w:tcMar>
              <w:top w:w="130" w:type="dxa"/>
              <w:start w:w="150" w:type="dxa"/>
              <w:bottom w:w="130" w:type="dxa"/>
              <w:end w:w="150" w:type="dxa"/>
            </w:tcMar>
          </w:tcPr>
          <w:p>
            <w:pPr>
              <w:spacing w:after="0"/>
            </w:pPr>
            <w:r>
              <w:rPr>
                <w:sz w:val="17"/>
              </w:rPr>
              <w:t>Projekt, wdrożenie, wersja mobilna, publikacja i hosting na serwerze Usługodawcy zgodnie z Załącznikiem nr 1.</w:t>
            </w:r>
          </w:p>
        </w:tc>
        <w:tc>
          <w:tcPr>
            <w:tcW w:type="dxa" w:w="2268"/>
            <w:vAlign w:val="center"/>
            <w:tcMar>
              <w:top w:w="130" w:type="dxa"/>
              <w:start w:w="150" w:type="dxa"/>
              <w:bottom w:w="130" w:type="dxa"/>
              <w:end w:w="150" w:type="dxa"/>
            </w:tcMar>
          </w:tcPr>
          <w:p>
            <w:pPr>
              <w:spacing w:after="0"/>
              <w:jc w:val="center"/>
            </w:pPr>
            <w:r>
              <w:rPr>
                <w:b/>
                <w:color w:val="B87333"/>
                <w:sz w:val="17"/>
              </w:rPr>
              <w:t>W cenie</w:t>
            </w:r>
          </w:p>
        </w:tc>
      </w:tr>
      <w:tr>
        <w:trPr>
          <w:cantSplit/>
        </w:trPr>
        <w:tc>
          <w:tcPr>
            <w:tcW w:type="dxa" w:w="2324"/>
            <w:vAlign w:val="center"/>
            <w:tcMar>
              <w:top w:w="130" w:type="dxa"/>
              <w:start w:w="150" w:type="dxa"/>
              <w:bottom w:w="130" w:type="dxa"/>
              <w:end w:w="150" w:type="dxa"/>
            </w:tcMar>
            <w:shd w:fill="F5F5F3"/>
          </w:tcPr>
          <w:p>
            <w:pPr>
              <w:spacing w:after="0"/>
            </w:pPr>
            <w:r>
              <w:rPr>
                <w:sz w:val="17"/>
              </w:rPr>
              <w:t>Logo</w:t>
            </w:r>
          </w:p>
        </w:tc>
        <w:tc>
          <w:tcPr>
            <w:tcW w:type="dxa" w:w="4422"/>
            <w:vAlign w:val="center"/>
            <w:tcMar>
              <w:top w:w="130" w:type="dxa"/>
              <w:start w:w="150" w:type="dxa"/>
              <w:bottom w:w="130" w:type="dxa"/>
              <w:end w:w="150" w:type="dxa"/>
            </w:tcMar>
            <w:shd w:fill="F5F5F3"/>
          </w:tcPr>
          <w:p>
            <w:pPr>
              <w:spacing w:after="0"/>
            </w:pPr>
            <w:r>
              <w:rPr>
                <w:sz w:val="17"/>
              </w:rPr>
              <w:t>Projekt logo i przekazanie plików użytkowych w uzgodnionych formatach. Pliki źródłowe nie są przekazywane bez wykupu.</w:t>
            </w:r>
          </w:p>
        </w:tc>
        <w:tc>
          <w:tcPr>
            <w:tcW w:type="dxa" w:w="2268"/>
            <w:vAlign w:val="center"/>
            <w:tcMar>
              <w:top w:w="130" w:type="dxa"/>
              <w:start w:w="150" w:type="dxa"/>
              <w:bottom w:w="130" w:type="dxa"/>
              <w:end w:w="150" w:type="dxa"/>
            </w:tcMar>
            <w:shd w:fill="F5F5F3"/>
          </w:tcPr>
          <w:p>
            <w:pPr>
              <w:spacing w:after="0"/>
              <w:jc w:val="center"/>
            </w:pPr>
            <w:r>
              <w:rPr>
                <w:b/>
                <w:color w:val="B87333"/>
                <w:sz w:val="17"/>
              </w:rPr>
              <w:t>W cenie</w:t>
            </w:r>
          </w:p>
        </w:tc>
      </w:tr>
      <w:tr>
        <w:trPr>
          <w:cantSplit/>
        </w:trPr>
        <w:tc>
          <w:tcPr>
            <w:tcW w:type="dxa" w:w="2324"/>
            <w:vAlign w:val="center"/>
            <w:tcMar>
              <w:top w:w="130" w:type="dxa"/>
              <w:start w:w="150" w:type="dxa"/>
              <w:bottom w:w="130" w:type="dxa"/>
              <w:end w:w="150" w:type="dxa"/>
            </w:tcMar>
          </w:tcPr>
          <w:p>
            <w:pPr>
              <w:spacing w:after="0"/>
            </w:pPr>
            <w:r>
              <w:rPr>
                <w:sz w:val="17"/>
              </w:rPr>
              <w:t>Firmowy e-mail</w:t>
            </w:r>
          </w:p>
        </w:tc>
        <w:tc>
          <w:tcPr>
            <w:tcW w:type="dxa" w:w="4422"/>
            <w:vAlign w:val="center"/>
            <w:tcMar>
              <w:top w:w="130" w:type="dxa"/>
              <w:start w:w="150" w:type="dxa"/>
              <w:bottom w:w="130" w:type="dxa"/>
              <w:end w:w="150" w:type="dxa"/>
            </w:tcMar>
          </w:tcPr>
          <w:p>
            <w:pPr>
              <w:spacing w:after="0"/>
            </w:pPr>
            <w:r>
              <w:rPr>
                <w:sz w:val="17"/>
              </w:rPr>
              <w:t>Konfiguracja adresu jest w cenie. Hosting poczty zapewnia Klient; może wybrać podstawowy hosting na serwerze Usługodawcy po akceptacji zasad z § 6.</w:t>
            </w:r>
          </w:p>
        </w:tc>
        <w:tc>
          <w:tcPr>
            <w:tcW w:type="dxa" w:w="2268"/>
            <w:vAlign w:val="center"/>
            <w:tcMar>
              <w:top w:w="130" w:type="dxa"/>
              <w:start w:w="150" w:type="dxa"/>
              <w:bottom w:w="130" w:type="dxa"/>
              <w:end w:w="150" w:type="dxa"/>
            </w:tcMar>
          </w:tcPr>
          <w:p>
            <w:pPr>
              <w:spacing w:after="0"/>
              <w:jc w:val="center"/>
            </w:pPr>
            <w:r>
              <w:rPr>
                <w:b/>
                <w:sz w:val="17"/>
              </w:rPr>
              <w:t>Klient / opcja</w:t>
            </w:r>
          </w:p>
        </w:tc>
      </w:tr>
      <w:tr>
        <w:trPr>
          <w:cantSplit/>
        </w:trPr>
        <w:tc>
          <w:tcPr>
            <w:tcW w:type="dxa" w:w="2324"/>
            <w:vAlign w:val="center"/>
            <w:tcMar>
              <w:top w:w="130" w:type="dxa"/>
              <w:start w:w="150" w:type="dxa"/>
              <w:bottom w:w="130" w:type="dxa"/>
              <w:end w:w="150" w:type="dxa"/>
            </w:tcMar>
            <w:shd w:fill="F5F5F3"/>
          </w:tcPr>
          <w:p>
            <w:pPr>
              <w:spacing w:after="0"/>
            </w:pPr>
            <w:r>
              <w:rPr>
                <w:sz w:val="17"/>
              </w:rPr>
              <w:t>Domena</w:t>
            </w:r>
          </w:p>
        </w:tc>
        <w:tc>
          <w:tcPr>
            <w:tcW w:type="dxa" w:w="4422"/>
            <w:vAlign w:val="center"/>
            <w:tcMar>
              <w:top w:w="130" w:type="dxa"/>
              <w:start w:w="150" w:type="dxa"/>
              <w:bottom w:w="130" w:type="dxa"/>
              <w:end w:w="150" w:type="dxa"/>
            </w:tcMar>
            <w:shd w:fill="F5F5F3"/>
          </w:tcPr>
          <w:p>
            <w:pPr>
              <w:spacing w:after="0"/>
            </w:pPr>
            <w:r>
              <w:rPr>
                <w:sz w:val="17"/>
              </w:rPr>
              <w:t>Rejestracja, opłaty, odnowienia i utrzymanie domeny przez Klienta na jego własnym koncie u rejestratora.</w:t>
            </w:r>
          </w:p>
        </w:tc>
        <w:tc>
          <w:tcPr>
            <w:tcW w:type="dxa" w:w="2268"/>
            <w:vAlign w:val="center"/>
            <w:tcMar>
              <w:top w:w="130" w:type="dxa"/>
              <w:start w:w="150" w:type="dxa"/>
              <w:bottom w:w="130" w:type="dxa"/>
              <w:end w:w="150" w:type="dxa"/>
            </w:tcMar>
            <w:shd w:fill="F5F5F3"/>
          </w:tcPr>
          <w:p>
            <w:pPr>
              <w:spacing w:after="0"/>
              <w:jc w:val="center"/>
            </w:pPr>
            <w:r>
              <w:rPr>
                <w:b/>
                <w:sz w:val="17"/>
              </w:rPr>
              <w:t>Poza zakresem</w:t>
            </w:r>
          </w:p>
        </w:tc>
      </w:tr>
      <w:tr>
        <w:trPr>
          <w:cantSplit/>
        </w:trPr>
        <w:tc>
          <w:tcPr>
            <w:tcW w:type="dxa" w:w="2324"/>
            <w:vAlign w:val="center"/>
            <w:tcMar>
              <w:top w:w="130" w:type="dxa"/>
              <w:start w:w="150" w:type="dxa"/>
              <w:bottom w:w="130" w:type="dxa"/>
              <w:end w:w="150" w:type="dxa"/>
            </w:tcMar>
          </w:tcPr>
          <w:p>
            <w:pPr>
              <w:spacing w:after="0"/>
            </w:pPr>
            <w:r>
              <w:rPr>
                <w:sz w:val="17"/>
              </w:rPr>
              <w:t>Rozbudowa</w:t>
            </w:r>
          </w:p>
        </w:tc>
        <w:tc>
          <w:tcPr>
            <w:tcW w:type="dxa" w:w="4422"/>
            <w:vAlign w:val="center"/>
            <w:tcMar>
              <w:top w:w="130" w:type="dxa"/>
              <w:start w:w="150" w:type="dxa"/>
              <w:bottom w:w="130" w:type="dxa"/>
              <w:end w:w="150" w:type="dxa"/>
            </w:tcMar>
          </w:tcPr>
          <w:p>
            <w:pPr>
              <w:spacing w:after="0"/>
            </w:pPr>
            <w:r>
              <w:rPr>
                <w:sz w:val="17"/>
              </w:rPr>
              <w:t>Nowe podstrony, funkcje, integracje, kampanie, banery, wizytówki i większe zmiany po odbiorze.</w:t>
            </w:r>
          </w:p>
        </w:tc>
        <w:tc>
          <w:tcPr>
            <w:tcW w:type="dxa" w:w="2268"/>
            <w:vAlign w:val="center"/>
            <w:tcMar>
              <w:top w:w="130" w:type="dxa"/>
              <w:start w:w="150" w:type="dxa"/>
              <w:bottom w:w="130" w:type="dxa"/>
              <w:end w:w="150" w:type="dxa"/>
            </w:tcMar>
          </w:tcPr>
          <w:p>
            <w:pPr>
              <w:spacing w:after="0"/>
              <w:jc w:val="center"/>
            </w:pPr>
            <w:r>
              <w:rPr>
                <w:b/>
                <w:sz w:val="17"/>
              </w:rPr>
              <w:t>Osobna wycena</w:t>
            </w:r>
          </w:p>
        </w:tc>
      </w:tr>
    </w:tbl>
    <w:p>
      <w:pPr>
        <w:pStyle w:val="Heading1"/>
        <w:keepNext/>
        <w:keepLines/>
      </w:pPr>
      <w:r>
        <w:rPr>
          <w:color w:val="111111"/>
        </w:rPr>
        <w:t>§ 3  Zakres Oferty Bez Opłaty Początkowej</w:t>
      </w:r>
    </w:p>
    <w:p>
      <w:pPr>
        <w:ind w:left="369" w:hanging="369"/>
      </w:pPr>
      <w:r>
        <w:rPr>
          <w:b/>
        </w:rPr>
        <w:t xml:space="preserve">1. </w:t>
      </w:r>
      <w:r>
        <w:t>Indywidualny projekt i wykonanie responsywnego Serwisu w zakresie opisanym w Załączniku nr 1, wraz z dostosowaniem do telefonów, tabletów i komputerów.</w:t>
      </w:r>
    </w:p>
    <w:p>
      <w:pPr>
        <w:ind w:left="369" w:hanging="369"/>
      </w:pPr>
      <w:r>
        <w:rPr>
          <w:b/>
        </w:rPr>
        <w:t xml:space="preserve">2. </w:t>
      </w:r>
      <w:r>
        <w:t>Przygotowanie jednego finalnego projektu logo na podstawie kierunku zaakceptowanego przez Klienta oraz przekazanie plików użytkowych w uzgodnionych formatach.</w:t>
      </w:r>
    </w:p>
    <w:p>
      <w:pPr>
        <w:ind w:left="369" w:hanging="369"/>
      </w:pPr>
      <w:r>
        <w:rPr>
          <w:b/>
        </w:rPr>
        <w:t xml:space="preserve">3. </w:t>
      </w:r>
      <w:r>
        <w:t>Konfiguracja jednego firmowego adresu e-mail w Domenie Klienta. Zakup i utrzymanie zewnętrznego hostingu poczty należą do Klienta, chyba że wybierze on opcjonalny podstawowy hosting na serwerze Nanostronki na zasadach z § 6.</w:t>
      </w:r>
    </w:p>
    <w:p>
      <w:pPr>
        <w:ind w:left="369" w:hanging="369"/>
      </w:pPr>
      <w:r>
        <w:rPr>
          <w:b/>
        </w:rPr>
        <w:t xml:space="preserve">4. </w:t>
      </w:r>
      <w:r>
        <w:t>Publikacja Serwisu pod Domeną, hosting Serwisu, podstawowa opieka techniczna, aktualizacje bezpieczeństwa zależne od użytej technologii oraz usuwanie usterek leżących po stronie Usługodawcy.</w:t>
      </w:r>
    </w:p>
    <w:p>
      <w:pPr>
        <w:ind w:left="369" w:hanging="369"/>
      </w:pPr>
      <w:r>
        <w:rPr>
          <w:b/>
        </w:rPr>
        <w:t xml:space="preserve">5. </w:t>
      </w:r>
      <w:r>
        <w:t>Dwie zbiorcze rundy uwag do projektu Serwisu i dwie zbiorcze rundy uwag do projektu logo, o ile Załącznik nr 1 nie stanowi inaczej.</w:t>
      </w:r>
    </w:p>
    <w:p>
      <w:r>
        <w:rPr>
          <w:b/>
        </w:rPr>
        <w:t xml:space="preserve">Zakres nie obejmuje </w:t>
      </w:r>
      <w:r>
        <w:t>tworzenia dodatkowych podstron lub funkcji niewskazanych w Załączniku nr 1, integracji płatniczych, sklepów internetowych, płatnych wtyczek, sesji zdjęciowych, tłumaczeń, pozycjonowania, kampanii reklamowych, stałej redakcji treści ani zmian wynikających z późniejszej zmiany koncepcji Klienta. Takie prace wymagają osobnej wyceny.</w:t>
      </w:r>
    </w:p>
    <w:p>
      <w:pPr>
        <w:pStyle w:val="Heading1"/>
        <w:keepNext/>
        <w:keepLines/>
      </w:pPr>
      <w:r>
        <w:rPr>
          <w:color w:val="111111"/>
        </w:rPr>
        <w:t>§ 4  Domena Klienta</w:t>
      </w:r>
    </w:p>
    <w:p>
      <w:pPr>
        <w:ind w:left="369" w:hanging="369"/>
      </w:pPr>
      <w:r>
        <w:rPr>
          <w:b/>
        </w:rPr>
        <w:t xml:space="preserve">1. </w:t>
      </w:r>
      <w:r>
        <w:t>Zakup, rejestracja, opłaty, odnowienia i utrzymanie Domeny pozostają poza zakresem Umowy i obciążają Klienta.</w:t>
      </w:r>
    </w:p>
    <w:p>
      <w:pPr>
        <w:ind w:left="369" w:hanging="369"/>
      </w:pPr>
      <w:r>
        <w:rPr>
          <w:b/>
        </w:rPr>
        <w:t xml:space="preserve">2. </w:t>
      </w:r>
      <w:r>
        <w:t>Domena jest rejestrowana bezpośrednio na Klienta i pozostaje jego własnością lub przedmiotem jego praw wobec rejestratora. Usługodawca nie nabywa praw do Domeny.</w:t>
      </w:r>
    </w:p>
    <w:p>
      <w:pPr>
        <w:ind w:left="369" w:hanging="369"/>
      </w:pPr>
      <w:r>
        <w:rPr>
          <w:b/>
        </w:rPr>
        <w:t xml:space="preserve">3. </w:t>
      </w:r>
      <w:r>
        <w:t>Klient utrzymuje konto u rejestratora i przekazuje Usługodawcy wyłącznie dostęp techniczny niezbędny do konfiguracji DNS albo samodzielnie wprowadza rekordy wskazane przez Usługodawcę.</w:t>
      </w:r>
    </w:p>
    <w:p>
      <w:pPr>
        <w:ind w:left="369" w:hanging="369"/>
      </w:pPr>
      <w:r>
        <w:rPr>
          <w:b/>
        </w:rPr>
        <w:t xml:space="preserve">4. </w:t>
      </w:r>
      <w:r>
        <w:t>Klient odpowiada za terminowe odnowienie Domeny i poprawność danych abonenta. Usługodawca nie odpowiada za wygaśnięcie, przejęcie ani niedostępność Domeny wynikające z działania Klienta, rejestratora lub rejestru domen.</w:t>
      </w:r>
    </w:p>
    <w:p>
      <w:pPr>
        <w:pStyle w:val="Heading1"/>
        <w:keepNext/>
        <w:keepLines/>
      </w:pPr>
      <w:r>
        <w:rPr>
          <w:color w:val="111111"/>
        </w:rPr>
        <w:t>§ 5  Realizacja i odbiór</w:t>
      </w:r>
    </w:p>
    <w:p>
      <w:pPr>
        <w:ind w:left="369" w:hanging="369"/>
      </w:pPr>
      <w:r>
        <w:rPr>
          <w:b/>
        </w:rPr>
        <w:t xml:space="preserve">1. </w:t>
      </w:r>
      <w:r>
        <w:t>Termin realizacji wynosi 40 dni roboczych od dnia otrzymania przez Usługodawcę kompletu materiałów, informacji, dostępów i akceptacji kierunku wizualnego.</w:t>
      </w:r>
    </w:p>
    <w:p>
      <w:pPr>
        <w:ind w:left="369" w:hanging="369"/>
      </w:pPr>
      <w:r>
        <w:rPr>
          <w:b/>
        </w:rPr>
        <w:t xml:space="preserve">2. </w:t>
      </w:r>
      <w:r>
        <w:t>Klient przekazuje uwagi w jednej zbiorczej wiadomości na etap. Termin realizacji ulega przedłużeniu o czas oczekiwania na materiały, decyzje lub akceptację Klienta oraz o czas wykonania zmian dodatkowych.</w:t>
      </w:r>
    </w:p>
    <w:p>
      <w:pPr>
        <w:ind w:left="369" w:hanging="369"/>
      </w:pPr>
      <w:r>
        <w:rPr>
          <w:b/>
        </w:rPr>
        <w:t xml:space="preserve">3. </w:t>
      </w:r>
      <w:r>
        <w:t>Po przedstawieniu wersji do odbioru Klient w terminie 5 dni roboczych akceptuje ją albo zgłasza konkretne niezgodności z Załącznikiem nr 1. Uwagi dotyczące nowych potrzeb lub zmiany wcześniej zaakceptowanego kierunku stanowią prace dodatkowe.</w:t>
      </w:r>
    </w:p>
    <w:p>
      <w:pPr>
        <w:ind w:left="369" w:hanging="369"/>
      </w:pPr>
      <w:r>
        <w:rPr>
          <w:b/>
        </w:rPr>
        <w:t xml:space="preserve">4. </w:t>
      </w:r>
      <w:r>
        <w:t>Jeżeli Klient nie przekaże stanowiska w terminie 7 dni roboczych mimo przypomnienia, Usługodawca może uznać etap za zaakceptowany i przejść do Uruchomienia, o ile Serwis jest zgodny z Załącznikiem nr 1.</w:t>
      </w:r>
    </w:p>
    <w:p>
      <w:pPr>
        <w:ind w:left="369" w:hanging="369"/>
      </w:pPr>
      <w:r>
        <w:rPr>
          <w:b/>
        </w:rPr>
        <w:t xml:space="preserve">5. </w:t>
      </w:r>
      <w:r>
        <w:t>Drobne usterki, które nie uniemożliwiają korzystania z Serwisu zgodnie z przeznaczeniem, nie wstrzymują Uruchomienia i zostaną usunięte w uzgodnionym terminie.</w:t>
      </w:r>
    </w:p>
    <w:p>
      <w:pPr>
        <w:pStyle w:val="Heading1"/>
        <w:keepNext/>
        <w:keepLines/>
      </w:pPr>
      <w:r>
        <w:rPr>
          <w:color w:val="111111"/>
        </w:rPr>
        <w:t>§ 6  Hosting Serwisu i opcjonalny hosting poczty</w:t>
      </w:r>
    </w:p>
    <w:p>
      <w:pPr>
        <w:ind w:left="369" w:hanging="369"/>
      </w:pPr>
      <w:r>
        <w:rPr>
          <w:b/>
        </w:rPr>
        <w:t xml:space="preserve">1. </w:t>
      </w:r>
      <w:r>
        <w:t>Hosting Serwisu jest realizowany na infrastrukturze pozostającej pod kontrolą Usługodawcy lub jego podwykonawcy hostingowego. Klient nie otrzymuje dostępu do panelu serwera ani repozytorium Kodu, chyba że Strony pisemnie uzgodnią inaczej.</w:t>
      </w:r>
    </w:p>
    <w:p>
      <w:pPr>
        <w:ind w:left="369" w:hanging="369"/>
      </w:pPr>
      <w:r>
        <w:rPr>
          <w:b/>
        </w:rPr>
        <w:t xml:space="preserve">2. </w:t>
      </w:r>
      <w:r>
        <w:t>Co do zasady Klient samodzielnie wybiera, zamawia, opłaca i utrzymuje usługę hostingu poczty u zewnętrznego dostawcy. Usługodawca może pomóc w technicznej konfiguracji jednego adresu, lecz nie staje się stroną umowy Klienta z tym dostawcą.</w:t>
      </w:r>
    </w:p>
    <w:p>
      <w:pPr>
        <w:ind w:left="369" w:hanging="369"/>
      </w:pPr>
      <w:r>
        <w:rPr>
          <w:b/>
        </w:rPr>
        <w:t xml:space="preserve">3. </w:t>
      </w:r>
      <w:r>
        <w:t>Nanostronka oferuje opcjonalny podstawowy hosting jednej skrzynki e-mail w przestrzeni serwerowej administrowanej przez Usługodawcę. Opcja może zostać objęta Subskrypcją wyłącznie po jej wyraźnym zaznaczeniu w Załączniku nr 1 i akceptacji przez Klienta niniejszych zasad udostępniania hostingu poczty.</w:t>
      </w:r>
    </w:p>
    <w:p>
      <w:pPr>
        <w:ind w:left="369" w:hanging="369"/>
      </w:pPr>
      <w:r>
        <w:rPr>
          <w:b/>
        </w:rPr>
        <w:t xml:space="preserve">4. </w:t>
      </w:r>
      <w:r>
        <w:t>Adres skrzynki, jej pojemność oraz ewentualne dodatkowe limity określa Załącznik nr 1. Przekroczenie przydzielonej pojemności może powodować brak możliwości odbierania lub wysyłania wiadomości do czasu zwolnienia miejsca albo uzgodnienia większego pakietu.</w:t>
      </w:r>
    </w:p>
    <w:p>
      <w:pPr>
        <w:ind w:left="369" w:hanging="369"/>
      </w:pPr>
      <w:r>
        <w:rPr>
          <w:b/>
        </w:rPr>
        <w:t xml:space="preserve">5. </w:t>
      </w:r>
      <w:r>
        <w:t>Ponieważ skrzynka jest utrzymywana w przestrzeni serwerowej Nanostronki, Usługodawca zachowuje administracyjne zarządzanie kontem, hasłami i dostępem. Usługodawca tworzy, zmienia i resetuje hasła na wniosek upoważnionej osoby Klienta oraz może wymusić zmianę lub czasowo zablokować dostęp, gdy jest to konieczne dla bezpieczeństwa usługi.</w:t>
      </w:r>
    </w:p>
    <w:p>
      <w:pPr>
        <w:ind w:left="369" w:hanging="369"/>
      </w:pPr>
      <w:r>
        <w:rPr>
          <w:b/>
        </w:rPr>
        <w:t xml:space="preserve">6. </w:t>
      </w:r>
      <w:r>
        <w:t>Dane dostępowe są przekazywane upoważnionej osobie Klienta w uzgodniony bezpieczny sposób. Klient odpowiada za ochronę danych dostępowych, konfigurację swoich urządzeń, zgodne z prawem korzystanie z poczty oraz niezwłoczne zgłoszenie podejrzenia przejęcia konta.</w:t>
      </w:r>
    </w:p>
    <w:p>
      <w:pPr>
        <w:ind w:left="369" w:hanging="369"/>
      </w:pPr>
      <w:r>
        <w:rPr>
          <w:b/>
        </w:rPr>
        <w:t xml:space="preserve">7. </w:t>
      </w:r>
      <w:r>
        <w:t>Administracyjne zarządzanie dostępem nie uprawnia Usługodawcy do swobodnego zapoznawania się z treścią korespondencji. Dostęp techniczny do danych skrzynki może nastąpić tylko w zakresie niezbędnym do wykonania zgłoszenia Klienta, usunięcia awarii, zapewnienia bezpieczeństwa albo wykonania obowiązku prawnego, z zachowaniem poufności.</w:t>
      </w:r>
    </w:p>
    <w:p>
      <w:pPr>
        <w:ind w:left="369" w:hanging="369"/>
      </w:pPr>
      <w:r>
        <w:rPr>
          <w:b/>
        </w:rPr>
        <w:t xml:space="preserve">8. </w:t>
      </w:r>
      <w:r>
        <w:t>Klient wykonuje lokalne kopie korespondencji, którą powinien zachować. Podstawowy hosting poczty nie jest usługą archiwizacji, chyba że Załącznik nr 1 wyraźnie stanowi inaczej.</w:t>
      </w:r>
    </w:p>
    <w:p>
      <w:pPr>
        <w:ind w:left="369" w:hanging="369"/>
      </w:pPr>
      <w:r>
        <w:rPr>
          <w:b/>
        </w:rPr>
        <w:t xml:space="preserve">9. </w:t>
      </w:r>
      <w:r>
        <w:t>Zabronione jest używanie skrzynki do spamu, phishingu, rozsyłania złośliwego oprogramowania lub działań naruszających prawo albo reputację infrastruktury. W takim przypadku Usługodawca może niezwłocznie ograniczyć usługę w zakresie koniecznym do ochrony systemu.</w:t>
      </w:r>
    </w:p>
    <w:p>
      <w:pPr>
        <w:ind w:left="369" w:hanging="369"/>
      </w:pPr>
      <w:r>
        <w:rPr>
          <w:b/>
        </w:rPr>
        <w:t xml:space="preserve">10. </w:t>
      </w:r>
      <w:r>
        <w:t>Usługodawca może prowadzić niezbędne prace serwisowe i stosować środki bezpieczeństwa. Nie gwarantuje nieprzerwanej dostępności w sytuacjach pozostających poza jego rozsądną kontrolą, w szczególności awarii operatorów, rejestrów domen, internetu lub siły wyższej.</w:t>
      </w:r>
    </w:p>
    <w:p>
      <w:pPr>
        <w:pStyle w:val="Heading1"/>
        <w:keepNext/>
        <w:keepLines/>
      </w:pPr>
      <w:r>
        <w:rPr>
          <w:color w:val="111111"/>
        </w:rPr>
        <w:t>§ 7  Obowiązki Klienta</w:t>
      </w:r>
    </w:p>
    <w:p>
      <w:pPr>
        <w:ind w:left="369" w:hanging="369"/>
      </w:pPr>
      <w:r>
        <w:rPr>
          <w:b/>
        </w:rPr>
        <w:t xml:space="preserve">1. </w:t>
      </w:r>
      <w:r>
        <w:t>Terminowe przekazanie prawdziwych i kompletnych informacji, tekstów, zdjęć, danych firmowych, wymaganych zgód oraz dostępów technicznych.</w:t>
      </w:r>
    </w:p>
    <w:p>
      <w:pPr>
        <w:ind w:left="369" w:hanging="369"/>
      </w:pPr>
      <w:r>
        <w:rPr>
          <w:b/>
        </w:rPr>
        <w:t xml:space="preserve">2. </w:t>
      </w:r>
      <w:r>
        <w:t>Zapewnienie, że materiały przekazane Usługodawcy mogą być legalnie użyte w Serwisie i nie naruszają praw osób trzecich.</w:t>
      </w:r>
    </w:p>
    <w:p>
      <w:pPr>
        <w:ind w:left="369" w:hanging="369"/>
      </w:pPr>
      <w:r>
        <w:rPr>
          <w:b/>
        </w:rPr>
        <w:t xml:space="preserve">3. </w:t>
      </w:r>
      <w:r>
        <w:t>Weryfikacja treści przed Uruchomieniem, w szczególności danych kontaktowych, cen, informacji branżowych, obowiązków informacyjnych, regulaminów i treści wymaganych przepisami właściwymi dla działalności Klienta.</w:t>
      </w:r>
    </w:p>
    <w:p>
      <w:pPr>
        <w:ind w:left="369" w:hanging="369"/>
      </w:pPr>
      <w:r>
        <w:rPr>
          <w:b/>
        </w:rPr>
        <w:t xml:space="preserve">4. </w:t>
      </w:r>
      <w:r>
        <w:t>Terminowa zapłata abonamentu oraz kosztów prac dodatkowych zaakceptowanych przed ich rozpoczęciem.</w:t>
      </w:r>
    </w:p>
    <w:p>
      <w:pPr>
        <w:ind w:left="369" w:hanging="369"/>
      </w:pPr>
      <w:r>
        <w:rPr>
          <w:b/>
        </w:rPr>
        <w:t xml:space="preserve">5. </w:t>
      </w:r>
      <w:r>
        <w:t>Niepodejmowanie prób samodzielnej ingerencji w Kod, zabezpieczenia lub konfigurację serwera bez zgody Usługodawcy.</w:t>
      </w:r>
    </w:p>
    <w:p>
      <w:pPr>
        <w:pStyle w:val="Heading1"/>
        <w:keepNext/>
        <w:keepLines/>
      </w:pPr>
      <w:r>
        <w:rPr>
          <w:color w:val="111111"/>
        </w:rPr>
        <w:t>§ 8  Wynagrodzenie</w:t>
      </w:r>
    </w:p>
    <w:p>
      <w:pPr>
        <w:ind w:left="369" w:hanging="369"/>
      </w:pPr>
      <w:r>
        <w:rPr>
          <w:b/>
        </w:rPr>
        <w:t xml:space="preserve">1. </w:t>
      </w:r>
      <w:r>
        <w:t>Za aktywną Subskrypcję Klient płaci Usługodawcy 99,00 zł miesięcznie. Jest to łączna kwota należna do zapłaty za miesiąc, z uwzględnieniem podatków zgodnie ze statusem podatkowym Usługodawcy wskazanym na dokumencie sprzedaży.</w:t>
      </w:r>
    </w:p>
    <w:p>
      <w:pPr>
        <w:ind w:left="369" w:hanging="369"/>
      </w:pPr>
      <w:r>
        <w:rPr>
          <w:b/>
        </w:rPr>
        <w:t xml:space="preserve">2. </w:t>
      </w:r>
      <w:r>
        <w:t>Pierwszy okres rozliczeniowy rozpoczyna się w dniu Uruchomienia. Opłata jest naliczana miesięcznie z góry na podstawie faktury lub rachunku, z terminem płatności 7 dni od daty wystawienia.</w:t>
      </w:r>
    </w:p>
    <w:p>
      <w:pPr>
        <w:ind w:left="369" w:hanging="369"/>
      </w:pPr>
      <w:r>
        <w:rPr>
          <w:b/>
        </w:rPr>
        <w:t xml:space="preserve">3. </w:t>
      </w:r>
      <w:r>
        <w:t>Za przygotowanie zakresu podstawowego nie jest pobierana osobna opłata początkowa. Prace dodatkowe, płatne licencje, usługi zewnętrzne i zakup materiałów są realizowane wyłącznie po zaakceptowaniu wyceny przez Klienta.</w:t>
      </w:r>
    </w:p>
    <w:p>
      <w:pPr>
        <w:ind w:left="369" w:hanging="369"/>
      </w:pPr>
      <w:r>
        <w:rPr>
          <w:b/>
        </w:rPr>
        <w:t xml:space="preserve">4. </w:t>
      </w:r>
      <w:r>
        <w:t>W razie opóźnienia w płatności przekraczającego 7 dni Usługodawca może, po wezwaniu do zapłaty i wyznaczeniu dodatkowego terminu nie krótszego niż 3 dni robocze, zawiesić Serwis oraz, jeżeli Klient korzysta z opcjonalnego hostingu poczty, skrzynkę e-mail do czasu uregulowania zaległości. Zawieszenie nie zwalnia z zapłaty za okres, w którym usługa pozostawała gotowa do świadczenia.</w:t>
      </w:r>
    </w:p>
    <w:p>
      <w:pPr>
        <w:pStyle w:val="Heading1"/>
        <w:keepNext/>
        <w:keepLines/>
      </w:pPr>
      <w:r>
        <w:rPr>
          <w:color w:val="111111"/>
        </w:rPr>
        <w:t>§ 9  Kod materiały i licencja subskrypcyjna</w:t>
      </w:r>
    </w:p>
    <w:p>
      <w:pPr>
        <w:ind w:left="369" w:hanging="369"/>
      </w:pPr>
      <w:r>
        <w:rPr>
          <w:b/>
        </w:rPr>
        <w:t xml:space="preserve">1. </w:t>
      </w:r>
      <w:r>
        <w:t>Przez cały okres obowiązywania Umowy Usługodawca pozostaje właścicielem Kodu oraz podmiotem autorskich praw majątkowych do Kodu i Materiałów Projektowych przygotowanych w ramach Oferty Bez Opłaty Początkowej, w zakresie w jakim prawa te przysługują Usługodawcy. Brak opłaty początkowej nie oznacza przeniesienia tych praw na Klienta.</w:t>
      </w:r>
    </w:p>
    <w:p>
      <w:pPr>
        <w:ind w:left="369" w:hanging="369"/>
      </w:pPr>
      <w:r>
        <w:rPr>
          <w:b/>
        </w:rPr>
        <w:t xml:space="preserve">2. </w:t>
      </w:r>
      <w:r>
        <w:t>Z chwilą Uruchomienia i pod warunkiem terminowego opłacania Subskrypcji Usługodawca udziela Klientowi niewyłącznej, nieprzenoszalnej licencji na czas obowiązywania Umowy, bez prawa udzielania sublicencji, z wyjątkiem technicznego korzystania z usług drukarni, wydawców, platform społecznościowych i wykonawców działających na zlecenie Klienta.</w:t>
      </w:r>
    </w:p>
    <w:p>
      <w:pPr>
        <w:ind w:left="369" w:hanging="369"/>
      </w:pPr>
      <w:r>
        <w:rPr>
          <w:b/>
        </w:rPr>
        <w:t xml:space="preserve">3. </w:t>
      </w:r>
      <w:r>
        <w:t>Licencja na Serwis i Kod obejmuje korzystanie z działającej, hostowanej wersji Serwisu w celu prezentowania działalności Klienta w internecie, wyświetlanie i publiczne udostępnianie Serwisu pod Domeną oraz techniczne zwielokrotnienia konieczne do korzystania z Serwisu. Licencja nie obejmuje wydania, kopiowania, modyfikowania, sprzedaży ani samodzielnego hostowania Kodu źródłowego.</w:t>
      </w:r>
    </w:p>
    <w:p>
      <w:pPr>
        <w:ind w:left="369" w:hanging="369"/>
      </w:pPr>
      <w:r>
        <w:rPr>
          <w:b/>
        </w:rPr>
        <w:t xml:space="preserve">4. </w:t>
      </w:r>
      <w:r>
        <w:t>Licencja na finalne logo i pozostałe Materiały Projektowe obejmuje utrwalanie i zwielokrotnianie w materiałach firmowych i reklamowych, wprowadzanie do obrotu egzemplarzy takich materiałów, publiczne wyświetlanie oraz udostępnianie w internecie, mediach społecznościowych, drukach, oznaczeniach i prezentacjach Klienta na terytorium całego świata.</w:t>
      </w:r>
    </w:p>
    <w:p>
      <w:pPr>
        <w:ind w:left="369" w:hanging="369"/>
      </w:pPr>
      <w:r>
        <w:rPr>
          <w:b/>
        </w:rPr>
        <w:t xml:space="preserve">5. </w:t>
      </w:r>
      <w:r>
        <w:t>Usługodawca nie będzie świadomie udostępniał innym klientom dokładnej finalnej wersji logo przygotowanej indywidualnie dla Klienta, mimo że licencja ma charakter niewyłączny.</w:t>
      </w:r>
    </w:p>
    <w:p>
      <w:pPr>
        <w:ind w:left="369" w:hanging="369"/>
      </w:pPr>
      <w:r>
        <w:rPr>
          <w:b/>
        </w:rPr>
        <w:t xml:space="preserve">6. </w:t>
      </w:r>
      <w:r>
        <w:t>Klient nie otrzymuje plików roboczych, repozytorium, plików projektowych, komponentów wielokrotnego użytku, narzędzi, know-how ani materiałów źródłowych, chyba że zakres ich wydania zostanie wskazany w odrębnej umowie wykupu.</w:t>
      </w:r>
    </w:p>
    <w:p>
      <w:pPr>
        <w:ind w:left="369" w:hanging="369"/>
      </w:pPr>
      <w:r>
        <w:rPr>
          <w:b/>
        </w:rPr>
        <w:t xml:space="preserve">7. </w:t>
      </w:r>
      <w:r>
        <w:t>Po ustaniu Umowy licencja wygasa. Klient zaprzestaje korzystania z Kodu i Materiałów Projektowych, które nie zostały wykupione, a Usługodawca może wyłączyć hostowaną wersję Serwisu oraz opcjonalnie hostowaną skrzynkę e-mail zgodnie z § 11.</w:t>
      </w:r>
    </w:p>
    <w:p>
      <w:pPr>
        <w:pStyle w:val="Heading2"/>
        <w:keepNext/>
        <w:keepLines/>
      </w:pPr>
      <w:r>
        <w:t>Możliwość wykupu</w:t>
      </w:r>
    </w:p>
    <w:p>
      <w:pPr>
        <w:ind w:left="369" w:hanging="369"/>
      </w:pPr>
      <w:r>
        <w:rPr>
          <w:b/>
        </w:rPr>
        <w:t xml:space="preserve">1. </w:t>
      </w:r>
      <w:r>
        <w:t>Na pisemne życzenie Klienta Usługodawca przygotuje indywidualną ofertę wykupu wskazanych zasobów, w szczególności finalnego logo, indywidualnych Materiałów Projektowych lub uzgodnionej części Kodu.</w:t>
      </w:r>
    </w:p>
    <w:p>
      <w:pPr>
        <w:ind w:left="369" w:hanging="369"/>
      </w:pPr>
      <w:r>
        <w:rPr>
          <w:b/>
        </w:rPr>
        <w:t xml:space="preserve">2. </w:t>
      </w:r>
      <w:r>
        <w:t>Oferta wykupu określi cenę, dokładny wykaz przekazywanych plików, pola eksploatacji, zakres praw, termin wydania oraz elementy wyłączone z wykupu. Komponenty ogólne, biblioteki, frameworki, narzędzia, rozwiązania wielokrotnego użytku i elementy osób trzecich mogą pozostać własnością odpowiednich uprawnionych.</w:t>
      </w:r>
    </w:p>
    <w:p>
      <w:pPr>
        <w:ind w:left="369" w:hanging="369"/>
      </w:pPr>
      <w:r>
        <w:rPr>
          <w:b/>
        </w:rPr>
        <w:t xml:space="preserve">3. </w:t>
      </w:r>
      <w:r>
        <w:t>Przeniesienie autorskich praw majątkowych lub udzielenie szerszej licencji nastąpi dopiero po zawarciu odrębnego porozumienia w wymaganej prawem formie i zapłacie całej ceny wykupu. Samo złożenie prośby lub przedstawienie oferty nie przenosi żadnych praw.</w:t>
      </w:r>
    </w:p>
    <w:p>
      <w:pPr>
        <w:pStyle w:val="Heading1"/>
        <w:keepNext/>
        <w:keepLines/>
      </w:pPr>
      <w:r>
        <w:rPr>
          <w:color w:val="111111"/>
        </w:rPr>
        <w:t>§ 10  Materiały Klienta i elementy osób trzecich</w:t>
      </w:r>
    </w:p>
    <w:p>
      <w:pPr>
        <w:ind w:left="369" w:hanging="369"/>
      </w:pPr>
      <w:r>
        <w:rPr>
          <w:b/>
        </w:rPr>
        <w:t xml:space="preserve">1. </w:t>
      </w:r>
      <w:r>
        <w:t>Klient zachowuje prawa do materiałów, które dostarczył Usługodawcy. Udziela Usługodawcy zgody na ich użycie wyłącznie w zakresie potrzebnym do wykonania i utrzymania Serwisu.</w:t>
      </w:r>
    </w:p>
    <w:p>
      <w:pPr>
        <w:ind w:left="369" w:hanging="369"/>
      </w:pPr>
      <w:r>
        <w:rPr>
          <w:b/>
        </w:rPr>
        <w:t xml:space="preserve">2. </w:t>
      </w:r>
      <w:r>
        <w:t>Serwis może korzystać z oprogramowania open source, fontów, bibliotek, zdjęć stockowych lub usług zewnętrznych na zasadach licencji ich dostawców. Umowa nie przenosi na Klienta praw szerszych niż wynikające z tych licencji.</w:t>
      </w:r>
    </w:p>
    <w:p>
      <w:pPr>
        <w:ind w:left="369" w:hanging="369"/>
      </w:pPr>
      <w:r>
        <w:rPr>
          <w:b/>
        </w:rPr>
        <w:t xml:space="preserve">3. </w:t>
      </w:r>
      <w:r>
        <w:t>Po publicznym Uruchomieniu Usługodawca może prezentować nazwę Klienta, logo, zrzuty Serwisu i krótki opis realizacji w swoim portfolio i materiałach handlowych. Klient może sprzeciwić się temu przed publikacją z uzasadnionej przyczyny dotyczącej poufności.</w:t>
      </w:r>
    </w:p>
    <w:p>
      <w:pPr>
        <w:pStyle w:val="Heading1"/>
        <w:keepNext/>
        <w:keepLines/>
      </w:pPr>
      <w:r>
        <w:rPr>
          <w:color w:val="111111"/>
        </w:rPr>
        <w:t>§ 11  Czas trwania i zakończenie Umowy</w:t>
      </w:r>
    </w:p>
    <w:p>
      <w:pPr>
        <w:ind w:left="369" w:hanging="369"/>
      </w:pPr>
      <w:r>
        <w:rPr>
          <w:b/>
        </w:rPr>
        <w:t xml:space="preserve">1. </w:t>
      </w:r>
      <w:r>
        <w:t>Umowa zostaje zawarta na czas nieoznaczony. Każda Strona może ją wypowiedzieć z jednomiesięcznym okresem wypowiedzenia ze skutkiem na koniec miesiąca rozliczeniowego.</w:t>
      </w:r>
    </w:p>
    <w:p>
      <w:pPr>
        <w:ind w:left="369" w:hanging="369"/>
      </w:pPr>
      <w:r>
        <w:rPr>
          <w:b/>
        </w:rPr>
        <w:t xml:space="preserve">2. </w:t>
      </w:r>
      <w:r>
        <w:t>Strona może rozwiązać Umowę ze skutkiem natychmiastowym, jeżeli druga Strona istotnie narusza Umowę i nie usunie naruszenia w dodatkowym terminie 7 dni od otrzymania wezwania, chyba że naruszenie ze swojej natury nie może zostać usunięte.</w:t>
      </w:r>
    </w:p>
    <w:p>
      <w:pPr>
        <w:ind w:left="369" w:hanging="369"/>
      </w:pPr>
      <w:r>
        <w:rPr>
          <w:b/>
        </w:rPr>
        <w:t xml:space="preserve">3. </w:t>
      </w:r>
      <w:r>
        <w:t>Po zakończeniu Umowy Usługodawca wyłącza Serwis oraz, jeżeli dotyczy, opcjonalnie hostowaną skrzynkę e-mail. Na wniosek złożony najpóźniej do dnia zakończenia Umowy udostępni Klientowi w rozsądnym technicznie formacie przekazane przez niego treści oraz eksport wiadomości e-mail, o ile jest dostępny w używanym systemie.</w:t>
      </w:r>
    </w:p>
    <w:p>
      <w:pPr>
        <w:ind w:left="369" w:hanging="369"/>
      </w:pPr>
      <w:r>
        <w:rPr>
          <w:b/>
        </w:rPr>
        <w:t xml:space="preserve">4. </w:t>
      </w:r>
      <w:r>
        <w:t>Klient odpowiada za pobranie danych w terminie 30 dni od zakończenia Umowy. Po tym terminie Usługodawca może trwale usunąć dane z aktywnych systemów i kopii zgodnie z cyklem retencji.</w:t>
      </w:r>
    </w:p>
    <w:p>
      <w:pPr>
        <w:ind w:left="369" w:hanging="369"/>
      </w:pPr>
      <w:r>
        <w:rPr>
          <w:b/>
        </w:rPr>
        <w:t xml:space="preserve">5. </w:t>
      </w:r>
      <w:r>
        <w:t>Zakończenie Umowy nie wpływa na prawa Klienta do Domeny. Klient może skierować Domenę do innego dostawcy, ale dalsze używanie Kodu i Materiałów Projektowych wymaga wcześniejszego wykupu lub odrębnej licencji.</w:t>
      </w:r>
    </w:p>
    <w:p>
      <w:pPr>
        <w:pStyle w:val="Heading1"/>
        <w:keepNext/>
        <w:keepLines/>
      </w:pPr>
      <w:r>
        <w:rPr>
          <w:color w:val="111111"/>
        </w:rPr>
        <w:t>§ 12  Odpowiedzialność</w:t>
      </w:r>
    </w:p>
    <w:p>
      <w:pPr>
        <w:ind w:left="369" w:hanging="369"/>
      </w:pPr>
      <w:r>
        <w:rPr>
          <w:b/>
        </w:rPr>
        <w:t xml:space="preserve">1. </w:t>
      </w:r>
      <w:r>
        <w:t>Usługodawca odpowiada za zgodność wykonania z Umową i usuwa zgłoszone usterki leżące po jego stronie w terminie odpowiednim do ich charakteru i wpływu na działanie Serwisu.</w:t>
      </w:r>
    </w:p>
    <w:p>
      <w:pPr>
        <w:ind w:left="369" w:hanging="369"/>
      </w:pPr>
      <w:r>
        <w:rPr>
          <w:b/>
        </w:rPr>
        <w:t xml:space="preserve">2. </w:t>
      </w:r>
      <w:r>
        <w:t>Usługodawca nie odpowiada za treści i materiały Klienta, naruszenia wynikające z instrukcji Klienta, utratę dostępu do Domeny, działanie rejestratora, wybranego przez Klienta zewnętrznego dostawcy poczty, innych usług zewnętrznych, urządzeń Klienta, internetu ani za skutki ujawnienia haseł przez Klienta.</w:t>
      </w:r>
    </w:p>
    <w:p>
      <w:pPr>
        <w:ind w:left="369" w:hanging="369"/>
      </w:pPr>
      <w:r>
        <w:rPr>
          <w:b/>
        </w:rPr>
        <w:t xml:space="preserve">3. </w:t>
      </w:r>
      <w:r>
        <w:t>Klient wykonuje kopie ważnej korespondencji i dokumentów przechowywanych w skrzynce e-mail. Hosting nie zastępuje systemu archiwizacji dokumentów wymaganej przepisami lub procedurami Klienta.</w:t>
      </w:r>
    </w:p>
    <w:p>
      <w:pPr>
        <w:ind w:left="369" w:hanging="369"/>
      </w:pPr>
      <w:r>
        <w:rPr>
          <w:b/>
        </w:rPr>
        <w:t xml:space="preserve">4. </w:t>
      </w:r>
      <w:r>
        <w:t>W relacji między przedsiębiorcami łączna odpowiedzialność odszkodowawcza Usługodawcy za szkody wynikające z jednego zdarzenia lub serii powiązanych zdarzeń jest ograniczona do wysokości trzech ostatnich miesięcznych opłat Subskrypcji. Ograniczenie nie dotyczy szkody wyrządzonej umyślnie ani odpowiedzialności, której nie można ograniczyć przepisami prawa.</w:t>
      </w:r>
    </w:p>
    <w:p>
      <w:pPr>
        <w:ind w:left="369" w:hanging="369"/>
      </w:pPr>
      <w:r>
        <w:rPr>
          <w:b/>
        </w:rPr>
        <w:t xml:space="preserve">5. </w:t>
      </w:r>
      <w:r>
        <w:t>Usługodawca nie odpowiada za utracone korzyści Klienta, chyba że szkoda została wyrządzona umyślnie.</w:t>
      </w:r>
    </w:p>
    <w:p>
      <w:pPr>
        <w:pStyle w:val="Heading1"/>
        <w:keepNext/>
        <w:keepLines/>
      </w:pPr>
      <w:r>
        <w:rPr>
          <w:color w:val="111111"/>
        </w:rPr>
        <w:t>§ 13  Poufność i dane osobowe</w:t>
      </w:r>
    </w:p>
    <w:p>
      <w:pPr>
        <w:ind w:left="369" w:hanging="369"/>
      </w:pPr>
      <w:r>
        <w:rPr>
          <w:b/>
        </w:rPr>
        <w:t xml:space="preserve">1. </w:t>
      </w:r>
      <w:r>
        <w:t>Strony zachowują w poufności informacje techniczne, handlowe i organizacyjne uzyskane w związku z Umową, z wyjątkiem informacji publicznych, legalnie uzyskanych z innego źródła lub wymaganych przez prawo.</w:t>
      </w:r>
    </w:p>
    <w:p>
      <w:pPr>
        <w:ind w:left="369" w:hanging="369"/>
      </w:pPr>
      <w:r>
        <w:rPr>
          <w:b/>
        </w:rPr>
        <w:t xml:space="preserve">2. </w:t>
      </w:r>
      <w:r>
        <w:t>Każda Strona jest odrębnym administratorem danych osób reprezentujących i kontaktowych drugiej Strony w zakresie potrzebnym do zawarcia i wykonania Umowy.</w:t>
      </w:r>
    </w:p>
    <w:p>
      <w:pPr>
        <w:ind w:left="369" w:hanging="369"/>
      </w:pPr>
      <w:r>
        <w:rPr>
          <w:b/>
        </w:rPr>
        <w:t xml:space="preserve">3. </w:t>
      </w:r>
      <w:r>
        <w:t>Jeżeli w związku z hostingiem Serwisu lub wybranym przez Klienta opcjonalnym hostingiem skrzynki e-mail Usługodawca przetwarza dane osobowe w imieniu Klienta, zastosowanie ma umowa powierzenia przetwarzania danych stanowiąca Załącznik nr 2.</w:t>
      </w:r>
    </w:p>
    <w:p>
      <w:pPr>
        <w:pStyle w:val="Heading1"/>
        <w:keepNext/>
        <w:keepLines/>
      </w:pPr>
      <w:r>
        <w:rPr>
          <w:color w:val="111111"/>
        </w:rPr>
        <w:t>§ 14  Kontakt i zgłoszenia</w:t>
      </w:r>
    </w:p>
    <w:p>
      <w:pPr>
        <w:ind w:left="369" w:hanging="369"/>
      </w:pPr>
      <w:r>
        <w:rPr>
          <w:b/>
        </w:rPr>
        <w:t xml:space="preserve">1. </w:t>
      </w:r>
      <w:r>
        <w:t>Bieżące ustalenia, akceptacje etapów, zgłoszenia usterek, wyceny prac dodatkowych i wypowiedzenie Umowy mogą być przekazywane pocztą elektroniczną na adresy wskazane w części wstępnej Umowy.</w:t>
      </w:r>
    </w:p>
    <w:p>
      <w:pPr>
        <w:ind w:left="369" w:hanging="369"/>
      </w:pPr>
      <w:r>
        <w:rPr>
          <w:b/>
        </w:rPr>
        <w:t xml:space="preserve">2. </w:t>
      </w:r>
      <w:r>
        <w:t>Zmiana adresu kontaktowego wymaga niezwłocznego powiadomienia drugiej Strony. Wiadomość wysłana na ostatni podany adres jest uznawana za skutecznie skierowaną.</w:t>
      </w:r>
    </w:p>
    <w:p>
      <w:pPr>
        <w:ind w:left="369" w:hanging="369"/>
      </w:pPr>
      <w:r>
        <w:rPr>
          <w:b/>
        </w:rPr>
        <w:t xml:space="preserve">3. </w:t>
      </w:r>
      <w:r>
        <w:t>Zgłoszenie usterki powinno zawierać opis problemu, adres podstrony, informacje o urządzeniu lub przeglądarce oraz, jeśli to możliwe, zrzut ekranu.</w:t>
      </w:r>
    </w:p>
    <w:p>
      <w:pPr>
        <w:pStyle w:val="Heading1"/>
        <w:keepNext/>
        <w:keepLines/>
      </w:pPr>
      <w:r>
        <w:rPr>
          <w:color w:val="111111"/>
        </w:rPr>
        <w:t>§ 15  Postanowienia końcowe</w:t>
      </w:r>
    </w:p>
    <w:p>
      <w:pPr>
        <w:ind w:left="369" w:hanging="369"/>
      </w:pPr>
      <w:r>
        <w:rPr>
          <w:b/>
        </w:rPr>
        <w:t xml:space="preserve">1. </w:t>
      </w:r>
      <w:r>
        <w:t>Umowa wraz z Załącznikami nr 1 i 2 stanowi całość uzgodnień Stron w zakresie jej przedmiotu.</w:t>
      </w:r>
    </w:p>
    <w:p>
      <w:pPr>
        <w:ind w:left="369" w:hanging="369"/>
      </w:pPr>
      <w:r>
        <w:rPr>
          <w:b/>
        </w:rPr>
        <w:t xml:space="preserve">2. </w:t>
      </w:r>
      <w:r>
        <w:t>Zmiany Umowy wymagają co najmniej formy dokumentowej, z wyjątkiem przeniesienia autorskich praw majątkowych, licencji wyłącznej lub innych czynności, dla których prawo wymaga formy pisemnej pod rygorem nieważności.</w:t>
      </w:r>
    </w:p>
    <w:p>
      <w:pPr>
        <w:ind w:left="369" w:hanging="369"/>
      </w:pPr>
      <w:r>
        <w:rPr>
          <w:b/>
        </w:rPr>
        <w:t xml:space="preserve">3. </w:t>
      </w:r>
      <w:r>
        <w:t>W sprawach nieuregulowanych stosuje się prawo polskie, w szczególności Kodeks cywilny, ustawę o prawie autorskim i prawach pokrewnych oraz przepisy o ochronie danych osobowych.</w:t>
      </w:r>
    </w:p>
    <w:p>
      <w:pPr>
        <w:ind w:left="369" w:hanging="369"/>
      </w:pPr>
      <w:r>
        <w:rPr>
          <w:b/>
        </w:rPr>
        <w:t xml:space="preserve">4. </w:t>
      </w:r>
      <w:r>
        <w:t>Spory między przedsiębiorcami będą rozpoznawane przez sąd właściwy dla siedziby Usługodawcy, po uprzedniej próbie polubownego rozwiązania sporu trwającej co najmniej 14 dni.</w:t>
      </w:r>
    </w:p>
    <w:p>
      <w:pPr>
        <w:ind w:left="369" w:hanging="369"/>
      </w:pPr>
      <w:r>
        <w:rPr>
          <w:b/>
        </w:rPr>
        <w:t xml:space="preserve">5. </w:t>
      </w:r>
      <w:r>
        <w:t>Jeżeli jedno z postanowień okaże się nieważne lub bezskuteczne, pozostałe postanowienia zachowują moc, a Strony zastąpią wadliwe postanowienie rozwiązaniem możliwie najbliższym jego gospodarczemu celowi.</w:t>
      </w:r>
    </w:p>
    <w:p>
      <w:pPr>
        <w:ind w:left="369" w:hanging="369"/>
      </w:pPr>
      <w:r>
        <w:rPr>
          <w:b/>
        </w:rPr>
        <w:t xml:space="preserve">6. </w:t>
      </w:r>
      <w:r>
        <w:t>Umowę sporządzono w dwóch jednobrzmiących egzemplarzach, po jednym dla każdej Strony, albo zawarto przy użyciu kwalifikowanych podpisów elektronicznych.</w:t>
      </w:r>
    </w:p>
    <w:p>
      <w:pPr>
        <w:spacing w:after="360"/>
      </w:pPr>
    </w:p>
    <w:tbl>
      <w:tblPr>
        <w:tblW w:type="auto" w:w="0"/>
        <w:jc w:val="center"/>
        <w:tblLayout w:type="fixed"/>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4309"/>
        <w:gridCol w:w="4309"/>
      </w:tblGrid>
      <w:tr>
        <w:tc>
          <w:tcPr>
            <w:tcW w:type="dxa" w:w="4309"/>
            <w:tcMar>
              <w:top w:w="0" w:type="dxa"/>
              <w:start w:w="120" w:type="dxa"/>
              <w:bottom w:w="0" w:type="dxa"/>
              <w:end w:w="120" w:type="dxa"/>
            </w:tcMar>
          </w:tcPr>
          <w:p>
            <w:pPr>
              <w:jc w:val="center"/>
            </w:pPr>
            <w:r>
              <w:rPr>
                <w:b/>
                <w:color w:val="666666"/>
                <w:sz w:val="16"/>
              </w:rPr>
              <w:t>USŁUGODAWCA</w:t>
            </w:r>
          </w:p>
        </w:tc>
        <w:tc>
          <w:tcPr>
            <w:tcW w:type="dxa" w:w="4309"/>
            <w:tcMar>
              <w:top w:w="0" w:type="dxa"/>
              <w:start w:w="120" w:type="dxa"/>
              <w:bottom w:w="0" w:type="dxa"/>
              <w:end w:w="120" w:type="dxa"/>
            </w:tcMar>
          </w:tcPr>
          <w:p>
            <w:pPr>
              <w:jc w:val="center"/>
            </w:pPr>
            <w:r>
              <w:rPr>
                <w:b/>
                <w:color w:val="666666"/>
                <w:sz w:val="16"/>
              </w:rPr>
              <w:t>KLIENT</w:t>
            </w:r>
          </w:p>
        </w:tc>
      </w:tr>
      <w:tr>
        <w:tc>
          <w:tcPr>
            <w:tcW w:type="dxa" w:w="4309"/>
            <w:tcMar>
              <w:top w:w="0" w:type="dxa"/>
              <w:start w:w="120" w:type="dxa"/>
              <w:bottom w:w="0" w:type="dxa"/>
              <w:end w:w="120" w:type="dxa"/>
            </w:tcMar>
          </w:tcPr>
          <w:p>
            <w:pPr>
              <w:spacing w:before="640"/>
              <w:jc w:val="center"/>
            </w:pPr>
            <w:r>
              <w:rPr>
                <w:sz w:val="18"/>
              </w:rPr>
              <w:t>________________________________</w:t>
              <w:br/>
            </w:r>
            <w:r>
              <w:rPr>
                <w:i/>
              </w:rPr>
              <w:t>data i czytelny podpis</w:t>
            </w:r>
          </w:p>
        </w:tc>
        <w:tc>
          <w:tcPr>
            <w:tcW w:type="dxa" w:w="4309"/>
            <w:tcMar>
              <w:top w:w="0" w:type="dxa"/>
              <w:start w:w="120" w:type="dxa"/>
              <w:bottom w:w="0" w:type="dxa"/>
              <w:end w:w="120" w:type="dxa"/>
            </w:tcMar>
          </w:tcPr>
          <w:p>
            <w:pPr>
              <w:spacing w:before="640"/>
              <w:jc w:val="center"/>
            </w:pPr>
            <w:r>
              <w:rPr>
                <w:sz w:val="18"/>
              </w:rPr>
              <w:t>________________________________</w:t>
              <w:br/>
            </w:r>
            <w:r>
              <w:rPr>
                <w:i/>
              </w:rPr>
              <w:t>data i czytelny podpis</w:t>
            </w:r>
          </w:p>
        </w:tc>
      </w:tr>
    </w:tbl>
    <w:p>
      <w:r>
        <w:br w:type="page"/>
      </w:r>
    </w:p>
    <w:p>
      <w:pPr>
        <w:pStyle w:val="Title"/>
      </w:pPr>
      <w:r>
        <w:t>Załącznik nr 1 Zakres projektu i parametry techniczne</w:t>
      </w:r>
    </w:p>
    <w:p>
      <w:r>
        <w:t>Załącznik służy do jednoznacznego opisania strony, materiałów i sposobu obsługi poczty e-mail przed rozpoczęciem prac. Uzupełniony i podpisany stanowi część Umowy.</w:t>
      </w:r>
    </w:p>
    <w:p>
      <w:pPr>
        <w:spacing w:after="100"/>
      </w:pPr>
      <w:r>
        <w:rPr>
          <w:b/>
        </w:rPr>
        <w:t xml:space="preserve">Nazwa projektu: </w:t>
      </w:r>
      <w:r>
        <w:t>____________________________________________________________</w:t>
      </w:r>
    </w:p>
    <w:p>
      <w:pPr>
        <w:spacing w:after="100"/>
      </w:pPr>
      <w:r>
        <w:rPr>
          <w:b/>
        </w:rPr>
        <w:t xml:space="preserve">Domena Klienta: </w:t>
      </w:r>
      <w:r>
        <w:t>____________________________________________________________</w:t>
      </w:r>
    </w:p>
    <w:p>
      <w:pPr>
        <w:spacing w:after="100"/>
      </w:pPr>
      <w:r>
        <w:rPr>
          <w:b/>
        </w:rPr>
        <w:t xml:space="preserve">Planowany termin Uruchomienia: </w:t>
      </w:r>
      <w:r>
        <w:t>____________________________________________________________</w:t>
      </w:r>
    </w:p>
    <w:p>
      <w:pPr>
        <w:spacing w:after="100"/>
      </w:pPr>
      <w:r>
        <w:rPr>
          <w:b/>
        </w:rPr>
        <w:t xml:space="preserve">Osoba akceptująca po stronie Klienta: </w:t>
      </w:r>
      <w:r>
        <w:t>____________________________________________________________</w:t>
      </w:r>
    </w:p>
    <w:p>
      <w:pPr>
        <w:pStyle w:val="Heading2"/>
        <w:keepNext/>
        <w:keepLines/>
      </w:pPr>
      <w:r>
        <w:t>Strona internetowa</w:t>
      </w:r>
    </w:p>
    <w:tbl>
      <w:tblPr>
        <w:tblW w:type="auto" w:w="0"/>
        <w:jc w:val="center"/>
        <w:tblLayout w:type="fixed"/>
        <w:tblLook w:firstColumn="1" w:firstRow="1" w:lastColumn="0" w:lastRow="0" w:noHBand="0" w:noVBand="1" w:val="04A0"/>
        <w:tblBorders>
          <w:top w:val="single" w:sz="8" w:color="D9D9D9"/>
          <w:left w:val="single" w:sz="8" w:color="D9D9D9"/>
          <w:bottom w:val="single" w:sz="8" w:color="D9D9D9"/>
          <w:right w:val="single" w:sz="8" w:color="D9D9D9"/>
          <w:insideH w:val="single" w:sz="8" w:color="D9D9D9"/>
          <w:insideV w:val="single" w:sz="8" w:color="D9D9D9"/>
        </w:tblBorders>
      </w:tblPr>
      <w:tblGrid>
        <w:gridCol w:w="2891"/>
        <w:gridCol w:w="6066"/>
      </w:tblGrid>
      <w:tr>
        <w:trPr>
          <w:tblHeader w:val="true"/>
        </w:trPr>
        <w:tc>
          <w:tcPr>
            <w:tcW w:type="dxa" w:w="4734"/>
            <w:shd w:fill="111111"/>
            <w:tcMar>
              <w:top w:w="140" w:type="dxa"/>
              <w:start w:w="150" w:type="dxa"/>
              <w:bottom w:w="140" w:type="dxa"/>
              <w:end w:w="150" w:type="dxa"/>
            </w:tcMar>
          </w:tcPr>
          <w:p>
            <w:r>
              <w:rPr>
                <w:b/>
                <w:color w:val="FFFFFF"/>
              </w:rPr>
              <w:t>Parametr</w:t>
            </w:r>
          </w:p>
        </w:tc>
        <w:tc>
          <w:tcPr>
            <w:tcW w:type="dxa" w:w="4734"/>
            <w:shd w:fill="111111"/>
            <w:tcMar>
              <w:top w:w="140" w:type="dxa"/>
              <w:start w:w="150" w:type="dxa"/>
              <w:bottom w:w="140" w:type="dxa"/>
              <w:end w:w="150" w:type="dxa"/>
            </w:tcMar>
          </w:tcPr>
          <w:p>
            <w:r>
              <w:rPr>
                <w:b/>
                <w:color w:val="FFFFFF"/>
              </w:rPr>
              <w:t>Ustalenie</w:t>
            </w:r>
          </w:p>
        </w:tc>
      </w:tr>
      <w:tr>
        <w:trPr>
          <w:cantSplit/>
        </w:trPr>
        <w:tc>
          <w:tcPr>
            <w:tcW w:type="dxa" w:w="2891"/>
            <w:tcMar>
              <w:top w:w="140" w:type="dxa"/>
              <w:start w:w="150" w:type="dxa"/>
              <w:bottom w:w="140" w:type="dxa"/>
              <w:end w:w="150" w:type="dxa"/>
            </w:tcMar>
            <w:vAlign w:val="center"/>
          </w:tcPr>
          <w:p>
            <w:r>
              <w:rPr>
                <w:b/>
                <w:sz w:val="17"/>
              </w:rPr>
              <w:t>Rodzaj strony</w:t>
            </w:r>
          </w:p>
        </w:tc>
        <w:tc>
          <w:tcPr>
            <w:tcW w:type="dxa" w:w="6066"/>
            <w:tcMar>
              <w:top w:w="140" w:type="dxa"/>
              <w:start w:w="150" w:type="dxa"/>
              <w:bottom w:w="140" w:type="dxa"/>
              <w:end w:w="150" w:type="dxa"/>
            </w:tcMar>
            <w:vAlign w:val="center"/>
          </w:tcPr>
          <w:p>
            <w:r>
              <w:rPr>
                <w:sz w:val="17"/>
              </w:rPr>
              <w:t>[ ] one page   [ ] wielostronicowa   [ ] inna: ____________________</w:t>
            </w:r>
          </w:p>
        </w:tc>
      </w:tr>
      <w:tr>
        <w:trPr>
          <w:cantSplit/>
        </w:trPr>
        <w:tc>
          <w:tcPr>
            <w:tcW w:type="dxa" w:w="2891"/>
            <w:shd w:fill="F5F5F3"/>
            <w:tcMar>
              <w:top w:w="140" w:type="dxa"/>
              <w:start w:w="150" w:type="dxa"/>
              <w:bottom w:w="140" w:type="dxa"/>
              <w:end w:w="150" w:type="dxa"/>
            </w:tcMar>
            <w:vAlign w:val="center"/>
          </w:tcPr>
          <w:p>
            <w:r>
              <w:rPr>
                <w:b/>
                <w:sz w:val="17"/>
              </w:rPr>
              <w:t>Wersje językowe</w:t>
            </w:r>
          </w:p>
        </w:tc>
        <w:tc>
          <w:tcPr>
            <w:tcW w:type="dxa" w:w="6066"/>
            <w:shd w:fill="F5F5F3"/>
            <w:tcMar>
              <w:top w:w="140" w:type="dxa"/>
              <w:start w:w="150" w:type="dxa"/>
              <w:bottom w:w="140" w:type="dxa"/>
              <w:end w:w="150" w:type="dxa"/>
            </w:tcMar>
            <w:vAlign w:val="center"/>
          </w:tcPr>
          <w:p>
            <w:r>
              <w:rPr>
                <w:sz w:val="17"/>
              </w:rPr>
              <w:t>[ ] polska   [ ] angielska   [ ] niemiecka   [ ] inne: __________</w:t>
            </w:r>
          </w:p>
        </w:tc>
      </w:tr>
      <w:tr>
        <w:trPr>
          <w:cantSplit/>
        </w:trPr>
        <w:tc>
          <w:tcPr>
            <w:tcW w:type="dxa" w:w="2891"/>
            <w:tcMar>
              <w:top w:w="140" w:type="dxa"/>
              <w:start w:w="150" w:type="dxa"/>
              <w:bottom w:w="140" w:type="dxa"/>
              <w:end w:w="150" w:type="dxa"/>
            </w:tcMar>
            <w:vAlign w:val="center"/>
          </w:tcPr>
          <w:p>
            <w:r>
              <w:rPr>
                <w:b/>
                <w:sz w:val="17"/>
              </w:rPr>
              <w:t>Sekcje lub podstrony</w:t>
            </w:r>
          </w:p>
        </w:tc>
        <w:tc>
          <w:tcPr>
            <w:tcW w:type="dxa" w:w="6066"/>
            <w:tcMar>
              <w:top w:w="140" w:type="dxa"/>
              <w:start w:w="150" w:type="dxa"/>
              <w:bottom w:w="140" w:type="dxa"/>
              <w:end w:w="150" w:type="dxa"/>
            </w:tcMar>
            <w:vAlign w:val="center"/>
          </w:tcPr>
          <w:p>
            <w:r>
              <w:rPr>
                <w:sz w:val="17"/>
              </w:rPr>
              <w:t>____________________________________________________________</w:t>
            </w:r>
          </w:p>
        </w:tc>
      </w:tr>
      <w:tr>
        <w:trPr>
          <w:cantSplit/>
        </w:trPr>
        <w:tc>
          <w:tcPr>
            <w:tcW w:type="dxa" w:w="2891"/>
            <w:shd w:fill="F5F5F3"/>
            <w:tcMar>
              <w:top w:w="140" w:type="dxa"/>
              <w:start w:w="150" w:type="dxa"/>
              <w:bottom w:w="140" w:type="dxa"/>
              <w:end w:w="150" w:type="dxa"/>
            </w:tcMar>
            <w:vAlign w:val="center"/>
          </w:tcPr>
          <w:p>
            <w:r>
              <w:rPr>
                <w:b/>
                <w:sz w:val="17"/>
              </w:rPr>
              <w:t>Funkcje i integracje</w:t>
            </w:r>
          </w:p>
        </w:tc>
        <w:tc>
          <w:tcPr>
            <w:tcW w:type="dxa" w:w="6066"/>
            <w:shd w:fill="F5F5F3"/>
            <w:tcMar>
              <w:top w:w="140" w:type="dxa"/>
              <w:start w:w="150" w:type="dxa"/>
              <w:bottom w:w="140" w:type="dxa"/>
              <w:end w:w="150" w:type="dxa"/>
            </w:tcMar>
            <w:vAlign w:val="center"/>
          </w:tcPr>
          <w:p>
            <w:r>
              <w:rPr>
                <w:sz w:val="17"/>
              </w:rPr>
              <w:t>____________________________________________________________</w:t>
            </w:r>
          </w:p>
        </w:tc>
      </w:tr>
      <w:tr>
        <w:trPr>
          <w:cantSplit/>
        </w:trPr>
        <w:tc>
          <w:tcPr>
            <w:tcW w:type="dxa" w:w="2891"/>
            <w:tcMar>
              <w:top w:w="140" w:type="dxa"/>
              <w:start w:w="150" w:type="dxa"/>
              <w:bottom w:w="140" w:type="dxa"/>
              <w:end w:w="150" w:type="dxa"/>
            </w:tcMar>
            <w:vAlign w:val="center"/>
          </w:tcPr>
          <w:p>
            <w:r>
              <w:rPr>
                <w:b/>
                <w:sz w:val="17"/>
              </w:rPr>
              <w:t>Materiały dostarcza Klient</w:t>
            </w:r>
          </w:p>
        </w:tc>
        <w:tc>
          <w:tcPr>
            <w:tcW w:type="dxa" w:w="6066"/>
            <w:tcMar>
              <w:top w:w="140" w:type="dxa"/>
              <w:start w:w="150" w:type="dxa"/>
              <w:bottom w:w="140" w:type="dxa"/>
              <w:end w:w="150" w:type="dxa"/>
            </w:tcMar>
            <w:vAlign w:val="center"/>
          </w:tcPr>
          <w:p>
            <w:r>
              <w:rPr>
                <w:sz w:val="17"/>
              </w:rPr>
              <w:t>[ ] teksty   [ ] zdjęcia   [ ] dane firmy   [ ] inne: ____________</w:t>
            </w:r>
          </w:p>
        </w:tc>
      </w:tr>
      <w:tr>
        <w:trPr>
          <w:cantSplit/>
        </w:trPr>
        <w:tc>
          <w:tcPr>
            <w:tcW w:type="dxa" w:w="2891"/>
            <w:shd w:fill="F5F5F3"/>
            <w:tcMar>
              <w:top w:w="140" w:type="dxa"/>
              <w:start w:w="150" w:type="dxa"/>
              <w:bottom w:w="140" w:type="dxa"/>
              <w:end w:w="150" w:type="dxa"/>
            </w:tcMar>
            <w:vAlign w:val="center"/>
          </w:tcPr>
          <w:p>
            <w:r>
              <w:rPr>
                <w:b/>
                <w:sz w:val="17"/>
              </w:rPr>
              <w:t>Liczba rund uwag</w:t>
            </w:r>
          </w:p>
        </w:tc>
        <w:tc>
          <w:tcPr>
            <w:tcW w:type="dxa" w:w="6066"/>
            <w:shd w:fill="F5F5F3"/>
            <w:tcMar>
              <w:top w:w="140" w:type="dxa"/>
              <w:start w:w="150" w:type="dxa"/>
              <w:bottom w:w="140" w:type="dxa"/>
              <w:end w:w="150" w:type="dxa"/>
            </w:tcMar>
            <w:vAlign w:val="center"/>
          </w:tcPr>
          <w:p>
            <w:r>
              <w:rPr>
                <w:sz w:val="17"/>
              </w:rPr>
              <w:t>2 zbiorcze rundy, chyba że wpisano inaczej: ____________________</w:t>
            </w:r>
          </w:p>
        </w:tc>
      </w:tr>
    </w:tbl>
    <w:p>
      <w:pPr>
        <w:pStyle w:val="Heading2"/>
        <w:keepNext/>
        <w:keepLines/>
      </w:pPr>
      <w:r>
        <w:t>Logo i identyfikacja</w:t>
      </w:r>
    </w:p>
    <w:p>
      <w:pPr>
        <w:spacing w:after="100"/>
      </w:pPr>
      <w:r>
        <w:rPr>
          <w:b/>
        </w:rPr>
        <w:t xml:space="preserve">Nazwa marki na logo: </w:t>
      </w:r>
      <w:r>
        <w:t>____________________________________________________________</w:t>
      </w:r>
    </w:p>
    <w:p>
      <w:pPr>
        <w:spacing w:after="100"/>
      </w:pPr>
      <w:r>
        <w:rPr>
          <w:b/>
        </w:rPr>
        <w:t xml:space="preserve">Kierunek stylistyczny: </w:t>
      </w:r>
      <w:r>
        <w:t>____________________________________________________________</w:t>
      </w:r>
    </w:p>
    <w:p>
      <w:pPr>
        <w:spacing w:after="100"/>
      </w:pPr>
      <w:r>
        <w:rPr>
          <w:b/>
        </w:rPr>
        <w:t xml:space="preserve">Kolory lub ograniczenia: </w:t>
      </w:r>
      <w:r>
        <w:t>____________________________________________________________</w:t>
      </w:r>
    </w:p>
    <w:p>
      <w:pPr>
        <w:spacing w:after="100"/>
      </w:pPr>
      <w:r>
        <w:rPr>
          <w:b/>
        </w:rPr>
        <w:t xml:space="preserve">Formaty plików użytkowych: </w:t>
      </w:r>
      <w:r>
        <w:t>____________________________________________________________</w:t>
      </w:r>
    </w:p>
    <w:p>
      <w:pPr>
        <w:spacing w:after="100"/>
      </w:pPr>
      <w:r>
        <w:rPr>
          <w:b/>
        </w:rPr>
        <w:t xml:space="preserve">Liczba rund uwag: </w:t>
      </w:r>
      <w:r>
        <w:t>2 zbiorcze rundy, chyba że wpisano inaczej: ____________________</w:t>
      </w:r>
    </w:p>
    <w:p>
      <w:pPr>
        <w:pStyle w:val="Heading2"/>
        <w:keepNext/>
        <w:keepLines/>
      </w:pPr>
      <w:r>
        <w:t>Poczta e-mail</w:t>
      </w:r>
    </w:p>
    <w:p>
      <w:pPr>
        <w:spacing w:after="100"/>
      </w:pPr>
      <w:r>
        <w:rPr>
          <w:b/>
        </w:rPr>
        <w:t xml:space="preserve">Wybrany wariant: </w:t>
      </w:r>
      <w:r>
        <w:t>[ ] hosting zapewnia Klient   [ ] podstawowy hosting Nanostronki</w:t>
      </w:r>
    </w:p>
    <w:p>
      <w:pPr>
        <w:spacing w:after="100"/>
      </w:pPr>
      <w:r>
        <w:rPr>
          <w:b/>
        </w:rPr>
        <w:t xml:space="preserve">Zewnętrzny dostawca Klienta: </w:t>
      </w:r>
      <w:r>
        <w:t>________________________________________________</w:t>
      </w:r>
    </w:p>
    <w:p>
      <w:pPr>
        <w:spacing w:after="100"/>
      </w:pPr>
      <w:r>
        <w:rPr>
          <w:b/>
        </w:rPr>
        <w:t xml:space="preserve">Adres skrzynki: </w:t>
      </w:r>
      <w:r>
        <w:t>____________________________@____________________________</w:t>
      </w:r>
    </w:p>
    <w:p>
      <w:pPr>
        <w:spacing w:after="100"/>
      </w:pPr>
      <w:r>
        <w:rPr>
          <w:b/>
        </w:rPr>
        <w:t xml:space="preserve">Pojemność: </w:t>
      </w:r>
      <w:r>
        <w:t>________________ GB</w:t>
      </w:r>
    </w:p>
    <w:p>
      <w:pPr>
        <w:spacing w:after="100"/>
      </w:pPr>
      <w:r>
        <w:rPr>
          <w:b/>
        </w:rPr>
        <w:t xml:space="preserve">Osoba odbierająca dane dostępowe: </w:t>
      </w:r>
      <w:r>
        <w:t>____________________________________________________________</w:t>
      </w:r>
    </w:p>
    <w:p>
      <w:r>
        <w:rPr>
          <w:b/>
        </w:rPr>
        <w:t xml:space="preserve">Akceptacja zasad hostingu poczty Nanostronki: </w:t>
      </w:r>
      <w:r>
        <w:t>wybierając podstawowy hosting Nanostronki, Klient akceptuje zasady określone w § 6, w tym wskazaną pojemność skrzynki oraz administracyjne zarządzanie kontem, hasłami i dostępem przez Usługodawcę.</w:t>
      </w:r>
    </w:p>
    <w:p>
      <w:pPr>
        <w:spacing w:after="100"/>
      </w:pPr>
      <w:r>
        <w:rPr>
          <w:b/>
        </w:rPr>
        <w:t xml:space="preserve">Potwierdzenie Klienta: </w:t>
      </w:r>
      <w:r>
        <w:t>[ ] akceptuję   podpis lub parafa: __________________________</w:t>
      </w:r>
    </w:p>
    <w:p>
      <w:pPr>
        <w:pStyle w:val="Heading2"/>
        <w:keepNext/>
        <w:keepLines/>
      </w:pPr>
      <w:r>
        <w:t>Ustalenia dodatkowe</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Pr>
        <w:spacing w:after="360"/>
      </w:pPr>
    </w:p>
    <w:tbl>
      <w:tblPr>
        <w:tblW w:type="auto" w:w="0"/>
        <w:jc w:val="center"/>
        <w:tblLayout w:type="fixed"/>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4309"/>
        <w:gridCol w:w="4309"/>
      </w:tblGrid>
      <w:tr>
        <w:tc>
          <w:tcPr>
            <w:tcW w:type="dxa" w:w="4309"/>
            <w:tcMar>
              <w:top w:w="0" w:type="dxa"/>
              <w:start w:w="120" w:type="dxa"/>
              <w:bottom w:w="0" w:type="dxa"/>
              <w:end w:w="120" w:type="dxa"/>
            </w:tcMar>
          </w:tcPr>
          <w:p>
            <w:pPr>
              <w:jc w:val="center"/>
            </w:pPr>
            <w:r>
              <w:rPr>
                <w:b/>
                <w:color w:val="666666"/>
                <w:sz w:val="16"/>
              </w:rPr>
              <w:t>USŁUGODAWCA</w:t>
            </w:r>
          </w:p>
        </w:tc>
        <w:tc>
          <w:tcPr>
            <w:tcW w:type="dxa" w:w="4309"/>
            <w:tcMar>
              <w:top w:w="0" w:type="dxa"/>
              <w:start w:w="120" w:type="dxa"/>
              <w:bottom w:w="0" w:type="dxa"/>
              <w:end w:w="120" w:type="dxa"/>
            </w:tcMar>
          </w:tcPr>
          <w:p>
            <w:pPr>
              <w:jc w:val="center"/>
            </w:pPr>
            <w:r>
              <w:rPr>
                <w:b/>
                <w:color w:val="666666"/>
                <w:sz w:val="16"/>
              </w:rPr>
              <w:t>KLIENT</w:t>
            </w:r>
          </w:p>
        </w:tc>
      </w:tr>
      <w:tr>
        <w:tc>
          <w:tcPr>
            <w:tcW w:type="dxa" w:w="4309"/>
            <w:tcMar>
              <w:top w:w="0" w:type="dxa"/>
              <w:start w:w="120" w:type="dxa"/>
              <w:bottom w:w="0" w:type="dxa"/>
              <w:end w:w="120" w:type="dxa"/>
            </w:tcMar>
          </w:tcPr>
          <w:p>
            <w:pPr>
              <w:spacing w:before="640"/>
              <w:jc w:val="center"/>
            </w:pPr>
            <w:r>
              <w:rPr>
                <w:sz w:val="18"/>
              </w:rPr>
              <w:t>________________________________</w:t>
              <w:br/>
            </w:r>
            <w:r>
              <w:rPr>
                <w:i/>
              </w:rPr>
              <w:t>data i czytelny podpis</w:t>
            </w:r>
          </w:p>
        </w:tc>
        <w:tc>
          <w:tcPr>
            <w:tcW w:type="dxa" w:w="4309"/>
            <w:tcMar>
              <w:top w:w="0" w:type="dxa"/>
              <w:start w:w="120" w:type="dxa"/>
              <w:bottom w:w="0" w:type="dxa"/>
              <w:end w:w="120" w:type="dxa"/>
            </w:tcMar>
          </w:tcPr>
          <w:p>
            <w:pPr>
              <w:spacing w:before="640"/>
              <w:jc w:val="center"/>
            </w:pPr>
            <w:r>
              <w:rPr>
                <w:sz w:val="18"/>
              </w:rPr>
              <w:t>________________________________</w:t>
              <w:br/>
            </w:r>
            <w:r>
              <w:rPr>
                <w:i/>
              </w:rPr>
              <w:t>data i czytelny podpis</w:t>
            </w:r>
          </w:p>
        </w:tc>
      </w:tr>
    </w:tbl>
    <w:p>
      <w:r>
        <w:br w:type="page"/>
      </w:r>
    </w:p>
    <w:p>
      <w:pPr>
        <w:pStyle w:val="Title"/>
      </w:pPr>
      <w:r>
        <w:t>Załącznik nr 2 Powierzenie przetwarzania danych osobowych</w:t>
      </w:r>
    </w:p>
    <w:p>
      <w:r>
        <w:t>Załącznik reguluje przetwarzanie danych osobowych przez Usługodawcę w związku z hostingiem Serwisu oraz, jeżeli Klient wybierze tę opcję, hostingiem skrzynki e-mail. Klient jest Administratorem, a ASPERION Łukasz Korgul jest Podmiotem przetwarzającym.</w:t>
      </w:r>
    </w:p>
    <w:p>
      <w:pPr>
        <w:pStyle w:val="Heading1"/>
        <w:keepNext/>
        <w:keepLines/>
      </w:pPr>
      <w:r>
        <w:rPr>
          <w:color w:val="111111"/>
        </w:rPr>
        <w:t>§ A  Przedmiot i czas powierzenia</w:t>
      </w:r>
    </w:p>
    <w:p>
      <w:pPr>
        <w:ind w:left="369" w:hanging="369"/>
      </w:pPr>
      <w:r>
        <w:rPr>
          <w:b/>
        </w:rPr>
        <w:t xml:space="preserve">1. </w:t>
      </w:r>
      <w:r>
        <w:t>Administrator powierza Podmiotowi przetwarzającemu dane osobowe wyłącznie w zakresie niezbędnym do hostingu, utrzymania, zabezpieczenia, tworzenia kopii technicznych, diagnozowania usterek i obsługi skrzynki e-mail.</w:t>
      </w:r>
    </w:p>
    <w:p>
      <w:pPr>
        <w:ind w:left="369" w:hanging="369"/>
      </w:pPr>
      <w:r>
        <w:rPr>
          <w:b/>
        </w:rPr>
        <w:t xml:space="preserve">2. </w:t>
      </w:r>
      <w:r>
        <w:t>Przetwarzanie trwa przez okres aktywnej Subskrypcji oraz przez okres technicznie niezbędny do zwrotu lub usunięcia danych po jej zakończeniu.</w:t>
      </w:r>
    </w:p>
    <w:p>
      <w:pPr>
        <w:ind w:left="369" w:hanging="369"/>
      </w:pPr>
      <w:r>
        <w:rPr>
          <w:b/>
        </w:rPr>
        <w:t xml:space="preserve">3. </w:t>
      </w:r>
      <w:r>
        <w:t>Podmiot przetwarzający działa wyłącznie na udokumentowane polecenie Administratora, którym jest Umowa, ten Załącznik oraz dalsze zgodne z prawem instrukcje przekazane w formie dokumentowej.</w:t>
      </w:r>
    </w:p>
    <w:p>
      <w:pPr>
        <w:pStyle w:val="Heading1"/>
        <w:keepNext/>
        <w:keepLines/>
      </w:pPr>
      <w:r>
        <w:rPr>
          <w:color w:val="111111"/>
        </w:rPr>
        <w:t>§ B  Zakres danych i osoby</w:t>
      </w:r>
    </w:p>
    <w:p>
      <w:pPr>
        <w:ind w:left="369" w:hanging="369"/>
      </w:pPr>
      <w:r>
        <w:rPr>
          <w:b/>
        </w:rPr>
        <w:t xml:space="preserve">1. </w:t>
      </w:r>
      <w:r>
        <w:t>Kategorie osób mogą obejmować klientów, potencjalnych klientów, pracowników, współpracowników, kontrahentów, subskrybentów i użytkowników Serwisu Administratora.</w:t>
      </w:r>
    </w:p>
    <w:p>
      <w:pPr>
        <w:ind w:left="369" w:hanging="369"/>
      </w:pPr>
      <w:r>
        <w:rPr>
          <w:b/>
        </w:rPr>
        <w:t xml:space="preserve">2. </w:t>
      </w:r>
      <w:r>
        <w:t>Rodzaje danych mogą obejmować imię i nazwisko, dane służbowe, adres e-mail, numer telefonu, treść korespondencji, dane rozliczeniowe, adres IP, identyfikatory techniczne i inne dane wprowadzone przez Administratora lub użytkowników do hostowanych systemów.</w:t>
      </w:r>
    </w:p>
    <w:p>
      <w:pPr>
        <w:ind w:left="369" w:hanging="369"/>
      </w:pPr>
      <w:r>
        <w:rPr>
          <w:b/>
        </w:rPr>
        <w:t xml:space="preserve">3. </w:t>
      </w:r>
      <w:r>
        <w:t>Powierzenie nie obejmuje szczególnych kategorii danych ani danych dotyczących wyroków i naruszeń prawa, chyba że Strony uprzednio pisemnie uzgodnią zakres, podstawę i dodatkowe zabezpieczenia.</w:t>
      </w:r>
    </w:p>
    <w:p>
      <w:pPr>
        <w:pStyle w:val="Heading1"/>
        <w:keepNext/>
        <w:keepLines/>
      </w:pPr>
      <w:r>
        <w:rPr>
          <w:color w:val="111111"/>
        </w:rPr>
        <w:t>§ C  Obowiązki Podmiotu przetwarzającego</w:t>
      </w:r>
    </w:p>
    <w:p>
      <w:pPr>
        <w:ind w:left="369" w:hanging="369"/>
      </w:pPr>
      <w:r>
        <w:rPr>
          <w:b/>
        </w:rPr>
        <w:t xml:space="preserve">1. </w:t>
      </w:r>
      <w:r>
        <w:t>Zapewnia, aby osoby upoważnione do przetwarzania danych zobowiązały się do zachowania poufności.</w:t>
      </w:r>
    </w:p>
    <w:p>
      <w:pPr>
        <w:ind w:left="369" w:hanging="369"/>
      </w:pPr>
      <w:r>
        <w:rPr>
          <w:b/>
        </w:rPr>
        <w:t xml:space="preserve">2. </w:t>
      </w:r>
      <w:r>
        <w:t>Stosuje środki techniczne i organizacyjne odpowiednie do ryzyka, w tym kontrolę dostępu, uwierzytelnianie, aktualizacje bezpieczeństwa, ochronę transmisji tam, gdzie jest dostępna, oraz procedury wykonywania i odtwarzania kopii technicznych odpowiednie do świadczonej usługi.</w:t>
      </w:r>
    </w:p>
    <w:p>
      <w:pPr>
        <w:ind w:left="369" w:hanging="369"/>
      </w:pPr>
      <w:r>
        <w:rPr>
          <w:b/>
        </w:rPr>
        <w:t xml:space="preserve">3. </w:t>
      </w:r>
      <w:r>
        <w:t>Pomaga Administratorowi, w miarę możliwości i z uwzględnieniem charakteru przetwarzania, odpowiadać na żądania osób oraz realizować obowiązki dotyczące bezpieczeństwa, naruszeń, oceny skutków i konsultacji z organem nadzorczym.</w:t>
      </w:r>
    </w:p>
    <w:p>
      <w:pPr>
        <w:ind w:left="369" w:hanging="369"/>
      </w:pPr>
      <w:r>
        <w:rPr>
          <w:b/>
        </w:rPr>
        <w:t xml:space="preserve">4. </w:t>
      </w:r>
      <w:r>
        <w:t>Udostępnia Administratorowi informacje niezbędne do wykazania spełnienia obowiązków z art. 28 RODO i umożliwia audyt na zasadach określonych w niniejszym Załączniku.</w:t>
      </w:r>
    </w:p>
    <w:p>
      <w:pPr>
        <w:ind w:left="369" w:hanging="369"/>
      </w:pPr>
      <w:r>
        <w:rPr>
          <w:b/>
        </w:rPr>
        <w:t xml:space="preserve">5. </w:t>
      </w:r>
      <w:r>
        <w:t>Nie wykorzystuje danych do własnych celów marketingowych ani innych celów niezwiązanych z wykonaniem Umowy.</w:t>
      </w:r>
    </w:p>
    <w:p>
      <w:pPr>
        <w:pStyle w:val="Heading1"/>
        <w:keepNext/>
        <w:keepLines/>
      </w:pPr>
      <w:r>
        <w:rPr>
          <w:color w:val="111111"/>
        </w:rPr>
        <w:t>§ D  Dalsze powierzenie</w:t>
      </w:r>
    </w:p>
    <w:p>
      <w:pPr>
        <w:ind w:left="369" w:hanging="369"/>
      </w:pPr>
      <w:r>
        <w:rPr>
          <w:b/>
        </w:rPr>
        <w:t xml:space="preserve">1. </w:t>
      </w:r>
      <w:r>
        <w:t>Administrator udziela ogólnej zgody na korzystanie przez Podmiot przetwarzający z dostawców infrastruktury, hostingu, kopii zapasowych, poczty i wsparcia technicznego, jeżeli jest to potrzebne do świadczenia usługi.</w:t>
      </w:r>
    </w:p>
    <w:p>
      <w:pPr>
        <w:ind w:left="369" w:hanging="369"/>
      </w:pPr>
      <w:r>
        <w:rPr>
          <w:b/>
        </w:rPr>
        <w:t xml:space="preserve">2. </w:t>
      </w:r>
      <w:r>
        <w:t>Podmiot przetwarzający informuje Administratora o planowanej istotnej zmianie dostawcy dającej Administratorowi możliwość zgłoszenia uzasadnionego sprzeciwu dotyczącego ochrony danych.</w:t>
      </w:r>
    </w:p>
    <w:p>
      <w:pPr>
        <w:ind w:left="369" w:hanging="369"/>
      </w:pPr>
      <w:r>
        <w:rPr>
          <w:b/>
        </w:rPr>
        <w:t xml:space="preserve">3. </w:t>
      </w:r>
      <w:r>
        <w:t>Na dalszy podmiot przetwarzający zostaną nałożone obowiązki ochrony danych nie mniej rygorystyczne niż wynikające z tego Załącznika. Podmiot przetwarzający pozostaje odpowiedzialny wobec Administratora za wykonanie tych obowiązków.</w:t>
      </w:r>
    </w:p>
    <w:p>
      <w:pPr>
        <w:pStyle w:val="Heading1"/>
        <w:keepNext/>
        <w:keepLines/>
      </w:pPr>
      <w:r>
        <w:rPr>
          <w:color w:val="111111"/>
        </w:rPr>
        <w:t>§ E  Naruszenia ochrony danych</w:t>
      </w:r>
    </w:p>
    <w:p>
      <w:pPr>
        <w:ind w:left="369" w:hanging="369"/>
      </w:pPr>
      <w:r>
        <w:rPr>
          <w:b/>
        </w:rPr>
        <w:t xml:space="preserve">1. </w:t>
      </w:r>
      <w:r>
        <w:t>Po stwierdzeniu naruszenia dotyczącego danych Administratora Podmiot przetwarzający powiadomi Administratora bez zbędnej zwłoki i przekaże dostępne informacje potrzebne do oceny zdarzenia i realizacji obowiązków prawnych.</w:t>
      </w:r>
    </w:p>
    <w:p>
      <w:pPr>
        <w:ind w:left="369" w:hanging="369"/>
      </w:pPr>
      <w:r>
        <w:rPr>
          <w:b/>
        </w:rPr>
        <w:t xml:space="preserve">2. </w:t>
      </w:r>
      <w:r>
        <w:t>Powiadomienie, w miarę dostępności, zawiera opis charakteru naruszenia, kategorie danych i osób, możliwe konsekwencje oraz zastosowane lub proponowane środki zaradcze.</w:t>
      </w:r>
    </w:p>
    <w:p>
      <w:pPr>
        <w:ind w:left="369" w:hanging="369"/>
      </w:pPr>
      <w:r>
        <w:rPr>
          <w:b/>
        </w:rPr>
        <w:t xml:space="preserve">3. </w:t>
      </w:r>
      <w:r>
        <w:t>Kontakt w sprawach naruszeń: kontakt@nanostronka.pl, tel. +48 690 690 776. Administrator wskazuje swój kontakt w części wstępnej Umowy.</w:t>
      </w:r>
    </w:p>
    <w:p>
      <w:pPr>
        <w:pStyle w:val="Heading1"/>
        <w:keepNext/>
        <w:keepLines/>
      </w:pPr>
      <w:r>
        <w:rPr>
          <w:color w:val="111111"/>
        </w:rPr>
        <w:t>§ F  Transfer danych</w:t>
      </w:r>
    </w:p>
    <w:p>
      <w:pPr>
        <w:ind w:left="369" w:hanging="369"/>
      </w:pPr>
      <w:r>
        <w:rPr>
          <w:b/>
        </w:rPr>
        <w:t xml:space="preserve">1. </w:t>
      </w:r>
      <w:r>
        <w:t>Dane są przetwarzane na terenie Europejskiego Obszaru Gospodarczego, o ile Strony lub właściwa usługa nie wymagają inaczej.</w:t>
      </w:r>
    </w:p>
    <w:p>
      <w:pPr>
        <w:ind w:left="369" w:hanging="369"/>
      </w:pPr>
      <w:r>
        <w:rPr>
          <w:b/>
        </w:rPr>
        <w:t xml:space="preserve">2. </w:t>
      </w:r>
      <w:r>
        <w:t>Transfer poza Europejski Obszar Gospodarczy może nastąpić wyłącznie przy zastosowaniu podstawy i zabezpieczeń wymaganych przez RODO oraz po przekazaniu Administratorowi wymaganych informacji.</w:t>
      </w:r>
    </w:p>
    <w:p>
      <w:pPr>
        <w:pStyle w:val="Heading1"/>
        <w:keepNext/>
        <w:keepLines/>
      </w:pPr>
      <w:r>
        <w:rPr>
          <w:color w:val="111111"/>
        </w:rPr>
        <w:t>§ G  Zwrot usunięcie i audyt</w:t>
      </w:r>
    </w:p>
    <w:p>
      <w:pPr>
        <w:ind w:left="369" w:hanging="369"/>
      </w:pPr>
      <w:r>
        <w:rPr>
          <w:b/>
        </w:rPr>
        <w:t xml:space="preserve">1. </w:t>
      </w:r>
      <w:r>
        <w:t>Po zakończeniu świadczenia usług Podmiot przetwarzający, według wyboru Administratora zgłoszonego przed końcem Umowy, zwraca dane w dostępnym formacie albo je usuwa, chyba że prawo wymaga dalszego przechowywania.</w:t>
      </w:r>
    </w:p>
    <w:p>
      <w:pPr>
        <w:ind w:left="369" w:hanging="369"/>
      </w:pPr>
      <w:r>
        <w:rPr>
          <w:b/>
        </w:rPr>
        <w:t xml:space="preserve">2. </w:t>
      </w:r>
      <w:r>
        <w:t>Dane mogą pozostać czasowo w rotacyjnych kopiach technicznych do czasu ich nadpisania zgodnie z cyklem retencji, bez wykorzystywania ich do innych celów.</w:t>
      </w:r>
    </w:p>
    <w:p>
      <w:pPr>
        <w:ind w:left="369" w:hanging="369"/>
      </w:pPr>
      <w:r>
        <w:rPr>
          <w:b/>
        </w:rPr>
        <w:t xml:space="preserve">3. </w:t>
      </w:r>
      <w:r>
        <w:t>Administrator może raz w roku przeprowadzić audyt po co najmniej 14-dniowym uprzedzeniu, w godzinach pracy i w sposób nienaruszający bezpieczeństwa innych klientów. Audyt dokumentacyjny jest bezpłatny; dodatkowe czynności wymagające ponadstandardowego nakładu mogą podlegać uzgodnionej opłacie.</w:t>
      </w:r>
    </w:p>
    <w:p>
      <w:pPr>
        <w:pStyle w:val="Heading1"/>
        <w:keepNext/>
        <w:keepLines/>
      </w:pPr>
      <w:r>
        <w:rPr>
          <w:color w:val="111111"/>
        </w:rPr>
        <w:t>§ H  Postanowienia końcowe powierzenia</w:t>
      </w:r>
    </w:p>
    <w:p>
      <w:pPr>
        <w:ind w:left="369" w:hanging="369"/>
      </w:pPr>
      <w:r>
        <w:rPr>
          <w:b/>
        </w:rPr>
        <w:t xml:space="preserve">1. </w:t>
      </w:r>
      <w:r>
        <w:t>W razie sprzeczności między tym Załącznikiem a Umową w sprawach ochrony danych pierwszeństwo ma niniejszy Załącznik.</w:t>
      </w:r>
    </w:p>
    <w:p>
      <w:pPr>
        <w:ind w:left="369" w:hanging="369"/>
      </w:pPr>
      <w:r>
        <w:rPr>
          <w:b/>
        </w:rPr>
        <w:t xml:space="preserve">2. </w:t>
      </w:r>
      <w:r>
        <w:t>Pojęcia Administrator, Podmiot przetwarzający, przetwarzanie, dane osobowe i naruszenie mają znaczenie nadane im przez RODO.</w:t>
      </w:r>
    </w:p>
    <w:p>
      <w:pPr>
        <w:ind w:left="369" w:hanging="369"/>
      </w:pPr>
      <w:r>
        <w:rPr>
          <w:b/>
        </w:rPr>
        <w:t xml:space="preserve">3. </w:t>
      </w:r>
      <w:r>
        <w:t>Załącznik obowiązuje od dnia podpisania Umowy i nie wymaga odrębnego wynagrodzenia w podstawowym zakresie Subskrypcji.</w:t>
      </w:r>
    </w:p>
    <w:p>
      <w:pPr>
        <w:spacing w:after="360"/>
      </w:pPr>
    </w:p>
    <w:tbl>
      <w:tblPr>
        <w:tblW w:type="auto" w:w="0"/>
        <w:jc w:val="center"/>
        <w:tblLayout w:type="fixed"/>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4309"/>
        <w:gridCol w:w="4309"/>
      </w:tblGrid>
      <w:tr>
        <w:tc>
          <w:tcPr>
            <w:tcW w:type="dxa" w:w="4309"/>
            <w:tcMar>
              <w:top w:w="0" w:type="dxa"/>
              <w:start w:w="120" w:type="dxa"/>
              <w:bottom w:w="0" w:type="dxa"/>
              <w:end w:w="120" w:type="dxa"/>
            </w:tcMar>
          </w:tcPr>
          <w:p>
            <w:pPr>
              <w:jc w:val="center"/>
            </w:pPr>
            <w:r>
              <w:rPr>
                <w:b/>
                <w:color w:val="666666"/>
                <w:sz w:val="16"/>
              </w:rPr>
              <w:t>USŁUGODAWCA</w:t>
            </w:r>
          </w:p>
        </w:tc>
        <w:tc>
          <w:tcPr>
            <w:tcW w:type="dxa" w:w="4309"/>
            <w:tcMar>
              <w:top w:w="0" w:type="dxa"/>
              <w:start w:w="120" w:type="dxa"/>
              <w:bottom w:w="0" w:type="dxa"/>
              <w:end w:w="120" w:type="dxa"/>
            </w:tcMar>
          </w:tcPr>
          <w:p>
            <w:pPr>
              <w:jc w:val="center"/>
            </w:pPr>
            <w:r>
              <w:rPr>
                <w:b/>
                <w:color w:val="666666"/>
                <w:sz w:val="16"/>
              </w:rPr>
              <w:t>KLIENT</w:t>
            </w:r>
          </w:p>
        </w:tc>
      </w:tr>
      <w:tr>
        <w:tc>
          <w:tcPr>
            <w:tcW w:type="dxa" w:w="4309"/>
            <w:tcMar>
              <w:top w:w="0" w:type="dxa"/>
              <w:start w:w="120" w:type="dxa"/>
              <w:bottom w:w="0" w:type="dxa"/>
              <w:end w:w="120" w:type="dxa"/>
            </w:tcMar>
          </w:tcPr>
          <w:p>
            <w:pPr>
              <w:spacing w:before="640"/>
              <w:jc w:val="center"/>
            </w:pPr>
            <w:r>
              <w:rPr>
                <w:sz w:val="18"/>
              </w:rPr>
              <w:t>________________________________</w:t>
              <w:br/>
            </w:r>
            <w:r>
              <w:rPr>
                <w:i/>
              </w:rPr>
              <w:t>data i czytelny podpis</w:t>
            </w:r>
          </w:p>
        </w:tc>
        <w:tc>
          <w:tcPr>
            <w:tcW w:type="dxa" w:w="4309"/>
            <w:tcMar>
              <w:top w:w="0" w:type="dxa"/>
              <w:start w:w="120" w:type="dxa"/>
              <w:bottom w:w="0" w:type="dxa"/>
              <w:end w:w="120" w:type="dxa"/>
            </w:tcMar>
          </w:tcPr>
          <w:p>
            <w:pPr>
              <w:spacing w:before="640"/>
              <w:jc w:val="center"/>
            </w:pPr>
            <w:r>
              <w:rPr>
                <w:sz w:val="18"/>
              </w:rPr>
              <w:t>________________________________</w:t>
              <w:br/>
            </w:r>
            <w:r>
              <w:rPr>
                <w:i/>
              </w:rPr>
              <w:t>data i czytelny podpis</w:t>
            </w:r>
          </w:p>
        </w:tc>
      </w:tr>
    </w:tbl>
    <w:sectPr w:rsidR="00FC693F" w:rsidRPr="0006063C" w:rsidSect="00034616">
      <w:headerReference w:type="default" r:id="rId9"/>
      <w:footerReference w:type="default" r:id="rId10"/>
      <w:pgSz w:w="11906" w:h="16838"/>
      <w:pgMar w:top="1134" w:right="1219" w:bottom="1020" w:left="1219"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Pr>
    <w:tblGrid>
      <w:gridCol w:w="7200"/>
      <w:gridCol w:w="2268"/>
    </w:tblGrid>
    <w:tr>
      <w:tc>
        <w:tcPr>
          <w:tcW w:type="dxa" w:w="4734"/>
          <w:tcMar>
            <w:top w:w="0" w:type="dxa"/>
            <w:start w:w="0" w:type="dxa"/>
            <w:bottom w:w="0" w:type="dxa"/>
            <w:end w:w="0" w:type="dxa"/>
          </w:tcMar>
        </w:tcPr>
        <w:p>
          <w:r>
            <w:rPr>
              <w:rFonts w:ascii="Arial" w:hAnsi="Arial"/>
              <w:color w:val="666666"/>
              <w:sz w:val="14"/>
            </w:rPr>
            <w:t>ASPERION Łukasz Korgul   |   kontakt@nanostronka.pl</w:t>
          </w:r>
        </w:p>
      </w:tc>
      <w:tc>
        <w:tcPr>
          <w:tcW w:type="dxa" w:w="4734"/>
          <w:tcMar>
            <w:top w:w="0" w:type="dxa"/>
            <w:start w:w="0" w:type="dxa"/>
            <w:bottom w:w="0" w:type="dxa"/>
            <w:end w:w="0" w:type="dxa"/>
          </w:tcMar>
        </w:tcPr>
        <w:p>
          <w:pPr>
            <w:jc w:val="right"/>
          </w:pPr>
          <w:r>
            <w:rPr>
              <w:rFonts w:ascii="Arial" w:hAnsi="Arial"/>
              <w:color w:val="666666"/>
              <w:sz w:val="14"/>
            </w:rPr>
            <w:t xml:space="preserve">Strona </w:t>
          </w:r>
          <w:r>
            <w:rPr>
              <w:rFonts w:ascii="Arial" w:hAnsi="Arial"/>
              <w:color w:val="666666"/>
              <w:sz w:val="14"/>
            </w:rPr>
            <w:fldChar w:fldCharType="begin"/>
            <w:instrText xml:space="preserve"> PAGE </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666666"/>
        <w:sz w:val="14"/>
      </w:rPr>
      <w:t>NANOSTRONKA   |   UMOWA SUBSKRYPCYJNA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8" w:lineRule="auto"/>
    </w:pPr>
    <w:rPr>
      <w:rFonts w:ascii="Arial" w:hAnsi="Arial"/>
      <w:color w:val="111111"/>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40" w:after="140"/>
      <w:outlineLvl w:val="0"/>
    </w:pPr>
    <w:rPr>
      <w:rFonts w:asciiTheme="majorHAnsi" w:eastAsiaTheme="majorEastAsia" w:hAnsiTheme="majorHAnsi" w:cstheme="majorBidi" w:ascii="Arial" w:hAnsi="Arial"/>
      <w:b/>
      <w:bCs/>
      <w:color w:val="111111"/>
      <w:sz w:val="28"/>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rial" w:hAnsi="Arial"/>
      <w:b/>
      <w:bCs/>
      <w:color w:val="11111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40" w:line="240" w:lineRule="auto"/>
      <w:contextualSpacing/>
    </w:pPr>
    <w:rPr>
      <w:rFonts w:asciiTheme="majorHAnsi" w:eastAsiaTheme="majorEastAsia" w:hAnsiTheme="majorHAnsi" w:cstheme="majorBidi" w:ascii="Arial" w:hAnsi="Arial"/>
      <w:b/>
      <w:color w:val="111111"/>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wykonanie i utrzymanie strony internetowej w modelu subskrypcyjnym</dc:title>
  <dc:subject>Wzór umowy Nanostronka</dc:subject>
  <dc:creator>ASPERION Łukasz Korgul</dc:creator>
  <cp:keywords>Nanostronka, umowa, strona internetowa, hosting, e-mail, licencja</cp:keywords>
  <dc:description>generated by python-docx</dc:description>
  <cp:lastModifiedBy/>
  <cp:revision>1</cp:revision>
  <dcterms:created xsi:type="dcterms:W3CDTF">2013-12-23T23:15:00Z</dcterms:created>
  <dcterms:modified xsi:type="dcterms:W3CDTF">2013-12-23T23:15:00Z</dcterms:modified>
  <cp:category/>
</cp:coreProperties>
</file>